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FE" w:rsidRPr="00C54757" w:rsidRDefault="00C211F8" w:rsidP="004551D0">
      <w:pPr>
        <w:spacing w:line="276" w:lineRule="auto"/>
        <w:jc w:val="center"/>
        <w:rPr>
          <w:rFonts w:ascii="Corbel" w:hAnsi="Corbel"/>
          <w:b/>
          <w:bCs/>
          <w:sz w:val="28"/>
          <w:szCs w:val="22"/>
        </w:rPr>
      </w:pPr>
      <w:r w:rsidRPr="00C54757">
        <w:rPr>
          <w:rFonts w:ascii="Corbel" w:hAnsi="Corbel"/>
          <w:b/>
          <w:bCs/>
          <w:sz w:val="28"/>
          <w:szCs w:val="22"/>
        </w:rPr>
        <w:t xml:space="preserve">Methodology </w:t>
      </w:r>
      <w:r w:rsidR="00281F50" w:rsidRPr="00C54757">
        <w:rPr>
          <w:rFonts w:ascii="Corbel" w:hAnsi="Corbel"/>
          <w:b/>
          <w:bCs/>
          <w:sz w:val="28"/>
          <w:szCs w:val="22"/>
        </w:rPr>
        <w:t>World Charity I</w:t>
      </w:r>
      <w:r w:rsidR="00537BFE" w:rsidRPr="00C54757">
        <w:rPr>
          <w:rFonts w:ascii="Corbel" w:hAnsi="Corbel"/>
          <w:b/>
          <w:bCs/>
          <w:sz w:val="28"/>
          <w:szCs w:val="22"/>
        </w:rPr>
        <w:t>ndex 201</w:t>
      </w:r>
      <w:r w:rsidR="00AD52F3" w:rsidRPr="00C54757">
        <w:rPr>
          <w:rFonts w:ascii="Corbel" w:hAnsi="Corbel"/>
          <w:b/>
          <w:bCs/>
          <w:sz w:val="28"/>
          <w:szCs w:val="22"/>
        </w:rPr>
        <w:t>7</w:t>
      </w:r>
    </w:p>
    <w:p w:rsidR="00537BFE" w:rsidRPr="00C54757" w:rsidRDefault="00537BFE" w:rsidP="004551D0">
      <w:pPr>
        <w:spacing w:line="276" w:lineRule="auto"/>
        <w:jc w:val="center"/>
        <w:rPr>
          <w:rFonts w:ascii="Corbel" w:hAnsi="Corbel"/>
          <w:b/>
          <w:bCs/>
          <w:sz w:val="28"/>
          <w:szCs w:val="22"/>
        </w:rPr>
      </w:pPr>
    </w:p>
    <w:p w:rsidR="00537BFE" w:rsidRPr="00C54757" w:rsidRDefault="00E20F70" w:rsidP="004551D0">
      <w:pPr>
        <w:spacing w:line="276" w:lineRule="auto"/>
        <w:jc w:val="center"/>
        <w:rPr>
          <w:rFonts w:ascii="Corbel" w:hAnsi="Corbel"/>
          <w:b/>
          <w:bCs/>
          <w:sz w:val="28"/>
          <w:szCs w:val="22"/>
        </w:rPr>
      </w:pPr>
      <w:r w:rsidRPr="00C54757">
        <w:rPr>
          <w:rFonts w:ascii="Corbel" w:hAnsi="Corbel"/>
          <w:b/>
          <w:bCs/>
          <w:sz w:val="28"/>
          <w:szCs w:val="22"/>
        </w:rPr>
        <w:t>Theo Schuyt, Barbara Gouwenberg</w:t>
      </w:r>
      <w:r w:rsidR="007412FF">
        <w:rPr>
          <w:rFonts w:ascii="Corbel" w:hAnsi="Corbel"/>
          <w:b/>
          <w:bCs/>
          <w:sz w:val="28"/>
          <w:szCs w:val="22"/>
        </w:rPr>
        <w:t xml:space="preserve">, </w:t>
      </w:r>
      <w:r w:rsidR="00C54757" w:rsidRPr="00C54757">
        <w:rPr>
          <w:rFonts w:ascii="Corbel" w:hAnsi="Corbel"/>
          <w:b/>
          <w:bCs/>
          <w:sz w:val="28"/>
          <w:szCs w:val="22"/>
        </w:rPr>
        <w:t>Suzanne Felix</w:t>
      </w:r>
      <w:r w:rsidR="007412FF">
        <w:rPr>
          <w:rFonts w:ascii="Corbel" w:hAnsi="Corbel"/>
          <w:b/>
          <w:bCs/>
          <w:sz w:val="28"/>
          <w:szCs w:val="22"/>
        </w:rPr>
        <w:t xml:space="preserve"> &amp; Dave </w:t>
      </w:r>
      <w:proofErr w:type="spellStart"/>
      <w:r w:rsidR="007412FF">
        <w:rPr>
          <w:rFonts w:ascii="Corbel" w:hAnsi="Corbel"/>
          <w:b/>
          <w:bCs/>
          <w:sz w:val="28"/>
          <w:szCs w:val="22"/>
        </w:rPr>
        <w:t>Verkaick</w:t>
      </w:r>
      <w:proofErr w:type="spellEnd"/>
    </w:p>
    <w:p w:rsidR="00537BFE" w:rsidRPr="00C54757" w:rsidRDefault="00537BFE" w:rsidP="004551D0">
      <w:pPr>
        <w:spacing w:line="276" w:lineRule="auto"/>
        <w:jc w:val="center"/>
        <w:rPr>
          <w:rFonts w:ascii="Corbel" w:hAnsi="Corbel"/>
          <w:b/>
          <w:bCs/>
          <w:sz w:val="28"/>
          <w:szCs w:val="22"/>
        </w:rPr>
      </w:pPr>
      <w:r w:rsidRPr="00C54757">
        <w:rPr>
          <w:rFonts w:ascii="Corbel" w:hAnsi="Corbel"/>
          <w:b/>
          <w:bCs/>
          <w:sz w:val="28"/>
          <w:szCs w:val="22"/>
        </w:rPr>
        <w:t>Center for Phil</w:t>
      </w:r>
      <w:r w:rsidR="00537553" w:rsidRPr="00C54757">
        <w:rPr>
          <w:rFonts w:ascii="Corbel" w:hAnsi="Corbel"/>
          <w:b/>
          <w:bCs/>
          <w:sz w:val="28"/>
          <w:szCs w:val="22"/>
        </w:rPr>
        <w:t>anthropic Studies</w:t>
      </w:r>
      <w:r w:rsidR="00537553" w:rsidRPr="00C54757">
        <w:rPr>
          <w:rFonts w:ascii="Corbel" w:hAnsi="Corbel"/>
          <w:b/>
          <w:bCs/>
          <w:sz w:val="28"/>
          <w:szCs w:val="22"/>
        </w:rPr>
        <w:br/>
      </w:r>
      <w:r w:rsidR="00C6518B" w:rsidRPr="00C54757">
        <w:rPr>
          <w:rFonts w:ascii="Corbel" w:hAnsi="Corbel"/>
          <w:b/>
          <w:bCs/>
          <w:sz w:val="28"/>
          <w:szCs w:val="22"/>
        </w:rPr>
        <w:t>VU Amsterdam</w:t>
      </w:r>
      <w:r w:rsidRPr="00C54757">
        <w:rPr>
          <w:rFonts w:ascii="Corbel" w:hAnsi="Corbel"/>
          <w:b/>
          <w:bCs/>
          <w:sz w:val="28"/>
          <w:szCs w:val="22"/>
        </w:rPr>
        <w:t xml:space="preserve"> </w:t>
      </w:r>
    </w:p>
    <w:p w:rsidR="005D5A4D" w:rsidRPr="00C54757" w:rsidRDefault="005D5A4D" w:rsidP="004551D0">
      <w:pPr>
        <w:spacing w:line="276" w:lineRule="auto"/>
        <w:jc w:val="center"/>
        <w:rPr>
          <w:rFonts w:ascii="Corbel" w:hAnsi="Corbel"/>
          <w:b/>
          <w:bCs/>
          <w:sz w:val="28"/>
          <w:szCs w:val="22"/>
          <w:u w:val="single"/>
        </w:rPr>
      </w:pPr>
    </w:p>
    <w:p w:rsidR="00537BFE" w:rsidRPr="00C54757" w:rsidRDefault="007412FF" w:rsidP="00C54757">
      <w:pPr>
        <w:pBdr>
          <w:bottom w:val="single" w:sz="4" w:space="1" w:color="auto"/>
        </w:pBdr>
        <w:spacing w:line="276" w:lineRule="auto"/>
        <w:jc w:val="center"/>
        <w:rPr>
          <w:rFonts w:ascii="Corbel" w:hAnsi="Corbel"/>
          <w:b/>
          <w:bCs/>
          <w:sz w:val="28"/>
          <w:szCs w:val="22"/>
        </w:rPr>
      </w:pPr>
      <w:r>
        <w:rPr>
          <w:rFonts w:ascii="Corbel" w:hAnsi="Corbel"/>
          <w:b/>
          <w:bCs/>
          <w:sz w:val="28"/>
          <w:szCs w:val="22"/>
        </w:rPr>
        <w:t>10</w:t>
      </w:r>
      <w:r w:rsidR="00F40E1F" w:rsidRPr="00C54757">
        <w:rPr>
          <w:rFonts w:ascii="Corbel" w:hAnsi="Corbel"/>
          <w:b/>
          <w:bCs/>
          <w:sz w:val="28"/>
          <w:szCs w:val="22"/>
        </w:rPr>
        <w:t xml:space="preserve"> December </w:t>
      </w:r>
      <w:r w:rsidR="00281F50" w:rsidRPr="00C54757">
        <w:rPr>
          <w:rFonts w:ascii="Corbel" w:hAnsi="Corbel"/>
          <w:b/>
          <w:bCs/>
          <w:sz w:val="28"/>
          <w:szCs w:val="22"/>
        </w:rPr>
        <w:t>201</w:t>
      </w:r>
      <w:r w:rsidR="00F40E1F" w:rsidRPr="00C54757">
        <w:rPr>
          <w:rFonts w:ascii="Corbel" w:hAnsi="Corbel"/>
          <w:b/>
          <w:bCs/>
          <w:sz w:val="28"/>
          <w:szCs w:val="22"/>
        </w:rPr>
        <w:t>8</w:t>
      </w:r>
    </w:p>
    <w:p w:rsidR="00537BFE" w:rsidRPr="000D7ADE" w:rsidRDefault="00537BFE" w:rsidP="004551D0">
      <w:pPr>
        <w:spacing w:line="276" w:lineRule="auto"/>
        <w:jc w:val="center"/>
        <w:rPr>
          <w:rFonts w:ascii="Corbel" w:hAnsi="Corbel"/>
          <w:b/>
          <w:bCs/>
          <w:sz w:val="22"/>
          <w:szCs w:val="22"/>
          <w:u w:val="single"/>
        </w:rPr>
      </w:pPr>
    </w:p>
    <w:p w:rsidR="00537BFE" w:rsidRPr="000D7ADE" w:rsidRDefault="00537BFE" w:rsidP="004551D0">
      <w:pPr>
        <w:spacing w:line="276" w:lineRule="auto"/>
        <w:rPr>
          <w:rFonts w:ascii="Corbel" w:hAnsi="Corbel"/>
          <w:sz w:val="22"/>
          <w:szCs w:val="22"/>
        </w:rPr>
      </w:pPr>
    </w:p>
    <w:p w:rsidR="009B030C" w:rsidRPr="000D7ADE" w:rsidRDefault="009B030C" w:rsidP="004551D0">
      <w:pPr>
        <w:pStyle w:val="ListParagraph"/>
        <w:numPr>
          <w:ilvl w:val="0"/>
          <w:numId w:val="2"/>
        </w:numPr>
        <w:spacing w:line="276" w:lineRule="auto"/>
        <w:jc w:val="both"/>
        <w:rPr>
          <w:rFonts w:ascii="Corbel" w:hAnsi="Corbel"/>
          <w:b/>
          <w:iCs/>
          <w:sz w:val="22"/>
          <w:szCs w:val="22"/>
        </w:rPr>
      </w:pPr>
      <w:r w:rsidRPr="000D7ADE">
        <w:rPr>
          <w:rFonts w:ascii="Corbel" w:hAnsi="Corbel"/>
          <w:b/>
          <w:i/>
          <w:iCs/>
          <w:sz w:val="22"/>
          <w:szCs w:val="22"/>
        </w:rPr>
        <w:t xml:space="preserve">Introduction </w:t>
      </w:r>
    </w:p>
    <w:p w:rsidR="00537BFE" w:rsidRPr="000D7ADE" w:rsidRDefault="007C6155" w:rsidP="004551D0">
      <w:pPr>
        <w:spacing w:line="276" w:lineRule="auto"/>
        <w:jc w:val="both"/>
        <w:rPr>
          <w:rFonts w:ascii="Corbel" w:hAnsi="Corbel"/>
          <w:iCs/>
          <w:sz w:val="22"/>
          <w:szCs w:val="22"/>
        </w:rPr>
      </w:pPr>
      <w:r w:rsidRPr="000D7ADE">
        <w:rPr>
          <w:rFonts w:ascii="Corbel" w:hAnsi="Corbel"/>
          <w:iCs/>
          <w:sz w:val="22"/>
          <w:szCs w:val="22"/>
        </w:rPr>
        <w:br/>
      </w:r>
      <w:r w:rsidR="00537BFE" w:rsidRPr="000D7ADE">
        <w:rPr>
          <w:rFonts w:ascii="Corbel" w:hAnsi="Corbel"/>
          <w:iCs/>
          <w:sz w:val="22"/>
          <w:szCs w:val="22"/>
        </w:rPr>
        <w:t>In the quest to identify the world’s most generous philanthropic foundations around the globe, one must have a clear methodology and guidelines at hands to do so in the most rigorous manner possible. The Center for Philanthropic Studies at the VU University in Amsterdam therefore proposes th</w:t>
      </w:r>
      <w:r w:rsidR="00704071" w:rsidRPr="000D7ADE">
        <w:rPr>
          <w:rFonts w:ascii="Corbel" w:hAnsi="Corbel"/>
          <w:iCs/>
          <w:sz w:val="22"/>
          <w:szCs w:val="22"/>
        </w:rPr>
        <w:t>e</w:t>
      </w:r>
      <w:r w:rsidR="00537BFE" w:rsidRPr="000D7ADE">
        <w:rPr>
          <w:rFonts w:ascii="Corbel" w:hAnsi="Corbel"/>
          <w:iCs/>
          <w:sz w:val="22"/>
          <w:szCs w:val="22"/>
        </w:rPr>
        <w:t xml:space="preserve"> following methodology section to guide us in comprising 2 ‘top 20’ lists for the City A.M. giving index, to be pres</w:t>
      </w:r>
      <w:r w:rsidR="00C6518B" w:rsidRPr="000D7ADE">
        <w:rPr>
          <w:rFonts w:ascii="Corbel" w:hAnsi="Corbel"/>
          <w:iCs/>
          <w:sz w:val="22"/>
          <w:szCs w:val="22"/>
        </w:rPr>
        <w:t>ented around Christmas time 201</w:t>
      </w:r>
      <w:r w:rsidR="00162AD3" w:rsidRPr="000D7ADE">
        <w:rPr>
          <w:rFonts w:ascii="Corbel" w:hAnsi="Corbel"/>
          <w:iCs/>
          <w:sz w:val="22"/>
          <w:szCs w:val="22"/>
        </w:rPr>
        <w:t>8</w:t>
      </w:r>
      <w:r w:rsidR="00537BFE" w:rsidRPr="000D7ADE">
        <w:rPr>
          <w:rFonts w:ascii="Corbel" w:hAnsi="Corbel"/>
          <w:iCs/>
          <w:sz w:val="22"/>
          <w:szCs w:val="22"/>
        </w:rPr>
        <w:t>. Based on charitable giving in the previous year</w:t>
      </w:r>
      <w:r w:rsidR="00A359D2" w:rsidRPr="000D7ADE">
        <w:rPr>
          <w:rFonts w:ascii="Corbel" w:hAnsi="Corbel"/>
          <w:iCs/>
          <w:sz w:val="22"/>
          <w:szCs w:val="22"/>
        </w:rPr>
        <w:t xml:space="preserve"> (201</w:t>
      </w:r>
      <w:r w:rsidR="00162AD3" w:rsidRPr="000D7ADE">
        <w:rPr>
          <w:rFonts w:ascii="Corbel" w:hAnsi="Corbel"/>
          <w:iCs/>
          <w:sz w:val="22"/>
          <w:szCs w:val="22"/>
        </w:rPr>
        <w:t>7</w:t>
      </w:r>
      <w:r w:rsidR="00A359D2" w:rsidRPr="000D7ADE">
        <w:rPr>
          <w:rFonts w:ascii="Corbel" w:hAnsi="Corbel"/>
          <w:iCs/>
          <w:sz w:val="22"/>
          <w:szCs w:val="22"/>
        </w:rPr>
        <w:t>)</w:t>
      </w:r>
      <w:r w:rsidR="00537BFE" w:rsidRPr="000D7ADE">
        <w:rPr>
          <w:rFonts w:ascii="Corbel" w:hAnsi="Corbel"/>
          <w:iCs/>
          <w:sz w:val="22"/>
          <w:szCs w:val="22"/>
        </w:rPr>
        <w:t xml:space="preserve">, a top 20 list </w:t>
      </w:r>
      <w:r w:rsidR="00A359D2" w:rsidRPr="000D7ADE">
        <w:rPr>
          <w:rFonts w:ascii="Corbel" w:hAnsi="Corbel"/>
          <w:iCs/>
          <w:sz w:val="22"/>
          <w:szCs w:val="22"/>
        </w:rPr>
        <w:t>is</w:t>
      </w:r>
      <w:r w:rsidR="00537BFE" w:rsidRPr="000D7ADE">
        <w:rPr>
          <w:rFonts w:ascii="Corbel" w:hAnsi="Corbel"/>
          <w:iCs/>
          <w:sz w:val="22"/>
          <w:szCs w:val="22"/>
        </w:rPr>
        <w:t xml:space="preserve"> made for both the most generous foundations across the entire globe as for Europe’s most generous. </w:t>
      </w:r>
    </w:p>
    <w:p w:rsidR="00537BFE" w:rsidRPr="000D7ADE" w:rsidRDefault="00537BFE" w:rsidP="004551D0">
      <w:pPr>
        <w:spacing w:line="276" w:lineRule="auto"/>
        <w:jc w:val="both"/>
        <w:rPr>
          <w:rFonts w:ascii="Corbel" w:hAnsi="Corbel"/>
          <w:sz w:val="22"/>
          <w:szCs w:val="22"/>
        </w:rPr>
      </w:pPr>
      <w:r w:rsidRPr="000D7ADE">
        <w:rPr>
          <w:rFonts w:ascii="Corbel" w:hAnsi="Corbel"/>
          <w:sz w:val="22"/>
          <w:szCs w:val="22"/>
        </w:rPr>
        <w:tab/>
        <w:t xml:space="preserve">In order to foster consistency for the methodology used in future lists and to promote transparency in the research, a clear methodological framework is of key importance. </w:t>
      </w:r>
      <w:r w:rsidR="00A359D2" w:rsidRPr="000D7ADE">
        <w:rPr>
          <w:rFonts w:ascii="Corbel" w:hAnsi="Corbel"/>
          <w:sz w:val="22"/>
          <w:szCs w:val="22"/>
        </w:rPr>
        <w:t xml:space="preserve">In this methodological framework </w:t>
      </w:r>
      <w:r w:rsidRPr="000D7ADE">
        <w:rPr>
          <w:rFonts w:ascii="Corbel" w:hAnsi="Corbel"/>
          <w:sz w:val="22"/>
          <w:szCs w:val="22"/>
        </w:rPr>
        <w:t xml:space="preserve">we </w:t>
      </w:r>
      <w:r w:rsidR="00A359D2" w:rsidRPr="000D7ADE">
        <w:rPr>
          <w:rFonts w:ascii="Corbel" w:hAnsi="Corbel"/>
          <w:sz w:val="22"/>
          <w:szCs w:val="22"/>
        </w:rPr>
        <w:t xml:space="preserve">first </w:t>
      </w:r>
      <w:r w:rsidRPr="000D7ADE">
        <w:rPr>
          <w:rFonts w:ascii="Corbel" w:hAnsi="Corbel"/>
          <w:sz w:val="22"/>
          <w:szCs w:val="22"/>
        </w:rPr>
        <w:t xml:space="preserve">define which organizations are included and excluded from the lists by creating a definition of what makes a ‘foundation’. </w:t>
      </w:r>
      <w:r w:rsidR="009B030C" w:rsidRPr="000D7ADE">
        <w:rPr>
          <w:rFonts w:ascii="Corbel" w:hAnsi="Corbel"/>
          <w:sz w:val="22"/>
          <w:szCs w:val="22"/>
        </w:rPr>
        <w:t>After that</w:t>
      </w:r>
      <w:r w:rsidRPr="000D7ADE">
        <w:rPr>
          <w:rFonts w:ascii="Corbel" w:hAnsi="Corbel"/>
          <w:sz w:val="22"/>
          <w:szCs w:val="22"/>
        </w:rPr>
        <w:t xml:space="preserve">, we </w:t>
      </w:r>
      <w:r w:rsidR="00861925" w:rsidRPr="000D7ADE">
        <w:rPr>
          <w:rFonts w:ascii="Corbel" w:hAnsi="Corbel"/>
          <w:sz w:val="22"/>
          <w:szCs w:val="22"/>
        </w:rPr>
        <w:t>explain our work plan.</w:t>
      </w:r>
    </w:p>
    <w:p w:rsidR="009B030C" w:rsidRPr="000D7ADE" w:rsidRDefault="007C6155" w:rsidP="004551D0">
      <w:pPr>
        <w:spacing w:line="276" w:lineRule="auto"/>
        <w:jc w:val="both"/>
        <w:rPr>
          <w:rFonts w:ascii="Corbel" w:hAnsi="Corbel"/>
          <w:sz w:val="22"/>
          <w:szCs w:val="22"/>
        </w:rPr>
      </w:pPr>
      <w:r w:rsidRPr="000D7ADE">
        <w:rPr>
          <w:rFonts w:ascii="Corbel" w:hAnsi="Corbel"/>
          <w:sz w:val="22"/>
          <w:szCs w:val="22"/>
        </w:rPr>
        <w:br/>
      </w:r>
    </w:p>
    <w:p w:rsidR="009B030C" w:rsidRPr="000D7ADE" w:rsidRDefault="009B030C" w:rsidP="004551D0">
      <w:pPr>
        <w:pStyle w:val="ListParagraph"/>
        <w:numPr>
          <w:ilvl w:val="0"/>
          <w:numId w:val="2"/>
        </w:numPr>
        <w:spacing w:line="276" w:lineRule="auto"/>
        <w:jc w:val="both"/>
        <w:rPr>
          <w:rFonts w:ascii="Corbel" w:hAnsi="Corbel"/>
          <w:b/>
          <w:sz w:val="22"/>
          <w:szCs w:val="22"/>
        </w:rPr>
      </w:pPr>
      <w:r w:rsidRPr="000D7ADE">
        <w:rPr>
          <w:rFonts w:ascii="Corbel" w:hAnsi="Corbel"/>
          <w:b/>
          <w:i/>
          <w:iCs/>
          <w:sz w:val="22"/>
          <w:szCs w:val="22"/>
        </w:rPr>
        <w:t>Foundations</w:t>
      </w:r>
    </w:p>
    <w:p w:rsidR="00306311" w:rsidRPr="000D7ADE" w:rsidRDefault="007C6155" w:rsidP="004551D0">
      <w:pPr>
        <w:spacing w:line="276" w:lineRule="auto"/>
        <w:jc w:val="both"/>
        <w:rPr>
          <w:rFonts w:ascii="Corbel" w:hAnsi="Corbel"/>
          <w:i/>
          <w:sz w:val="22"/>
          <w:szCs w:val="22"/>
        </w:rPr>
      </w:pPr>
      <w:r w:rsidRPr="000D7ADE">
        <w:rPr>
          <w:rFonts w:ascii="Corbel" w:hAnsi="Corbel"/>
          <w:sz w:val="22"/>
          <w:szCs w:val="22"/>
          <w:lang w:val="en-GB"/>
        </w:rPr>
        <w:br/>
      </w:r>
      <w:r w:rsidR="005E1B07" w:rsidRPr="000D7ADE">
        <w:rPr>
          <w:rFonts w:ascii="Corbel" w:hAnsi="Corbel"/>
          <w:sz w:val="22"/>
          <w:szCs w:val="22"/>
          <w:lang w:val="en-GB"/>
        </w:rPr>
        <w:t xml:space="preserve">The purpose of this study is to range </w:t>
      </w:r>
      <w:r w:rsidR="005E1B07" w:rsidRPr="000D7ADE">
        <w:rPr>
          <w:rFonts w:ascii="Corbel" w:hAnsi="Corbel"/>
          <w:i/>
          <w:sz w:val="22"/>
          <w:szCs w:val="22"/>
          <w:lang w:val="en-GB"/>
        </w:rPr>
        <w:t>foundations</w:t>
      </w:r>
      <w:r w:rsidR="005E1B07" w:rsidRPr="000D7ADE">
        <w:rPr>
          <w:rFonts w:ascii="Corbel" w:hAnsi="Corbel"/>
          <w:sz w:val="22"/>
          <w:szCs w:val="22"/>
          <w:lang w:val="en-GB"/>
        </w:rPr>
        <w:t xml:space="preserve">’ financial support worldwide. </w:t>
      </w:r>
      <w:r w:rsidR="007F5EBB" w:rsidRPr="000D7ADE">
        <w:rPr>
          <w:rFonts w:ascii="Corbel" w:hAnsi="Corbel"/>
          <w:sz w:val="22"/>
          <w:szCs w:val="22"/>
          <w:lang w:val="en-GB"/>
        </w:rPr>
        <w:t>As t</w:t>
      </w:r>
      <w:r w:rsidR="005E1B07" w:rsidRPr="000D7ADE">
        <w:rPr>
          <w:rFonts w:ascii="Corbel" w:hAnsi="Corbel"/>
          <w:sz w:val="22"/>
          <w:szCs w:val="22"/>
          <w:lang w:val="en-GB"/>
        </w:rPr>
        <w:t xml:space="preserve">he legal and fiscal frameworks vary greatly from country to country it </w:t>
      </w:r>
      <w:r w:rsidR="00351EC6" w:rsidRPr="000D7ADE">
        <w:rPr>
          <w:rFonts w:ascii="Corbel" w:hAnsi="Corbel"/>
          <w:sz w:val="22"/>
          <w:szCs w:val="22"/>
          <w:lang w:val="en-GB"/>
        </w:rPr>
        <w:t>is complicated</w:t>
      </w:r>
      <w:r w:rsidR="005E1B07" w:rsidRPr="000D7ADE">
        <w:rPr>
          <w:rFonts w:ascii="Corbel" w:hAnsi="Corbel"/>
          <w:sz w:val="22"/>
          <w:szCs w:val="22"/>
          <w:lang w:val="en-GB"/>
        </w:rPr>
        <w:t xml:space="preserve"> to come up with a single definition</w:t>
      </w:r>
      <w:r w:rsidR="00351EC6" w:rsidRPr="000D7ADE">
        <w:rPr>
          <w:rFonts w:ascii="Corbel" w:hAnsi="Corbel"/>
          <w:sz w:val="22"/>
          <w:szCs w:val="22"/>
          <w:lang w:val="en-GB"/>
        </w:rPr>
        <w:t xml:space="preserve"> of foundations</w:t>
      </w:r>
      <w:r w:rsidR="005E1B07" w:rsidRPr="000D7ADE">
        <w:rPr>
          <w:rFonts w:ascii="Corbel" w:hAnsi="Corbel"/>
          <w:sz w:val="22"/>
          <w:szCs w:val="22"/>
          <w:lang w:val="en-GB"/>
        </w:rPr>
        <w:t>.</w:t>
      </w:r>
      <w:r w:rsidR="00704071" w:rsidRPr="000D7ADE">
        <w:rPr>
          <w:rFonts w:ascii="Corbel" w:hAnsi="Corbel"/>
          <w:sz w:val="22"/>
          <w:szCs w:val="22"/>
          <w:lang w:val="en-GB"/>
        </w:rPr>
        <w:t xml:space="preserve"> Compared to the </w:t>
      </w:r>
      <w:r w:rsidR="00910401" w:rsidRPr="000D7ADE">
        <w:rPr>
          <w:rFonts w:ascii="Corbel" w:hAnsi="Corbel"/>
          <w:sz w:val="22"/>
          <w:szCs w:val="22"/>
          <w:lang w:val="en-GB"/>
        </w:rPr>
        <w:t xml:space="preserve">definition of a </w:t>
      </w:r>
      <w:r w:rsidR="00704071" w:rsidRPr="000D7ADE">
        <w:rPr>
          <w:rFonts w:ascii="Corbel" w:hAnsi="Corbel"/>
          <w:sz w:val="22"/>
          <w:szCs w:val="22"/>
          <w:lang w:val="en-GB"/>
        </w:rPr>
        <w:t xml:space="preserve">private foundation </w:t>
      </w:r>
      <w:r w:rsidR="00910401" w:rsidRPr="000D7ADE">
        <w:rPr>
          <w:rFonts w:ascii="Corbel" w:hAnsi="Corbel"/>
          <w:sz w:val="22"/>
          <w:szCs w:val="22"/>
          <w:lang w:val="en-GB"/>
        </w:rPr>
        <w:t xml:space="preserve">in the </w:t>
      </w:r>
      <w:r w:rsidR="00330E0B" w:rsidRPr="000D7ADE">
        <w:rPr>
          <w:rFonts w:ascii="Corbel" w:hAnsi="Corbel"/>
          <w:sz w:val="22"/>
          <w:szCs w:val="22"/>
          <w:lang w:val="en-GB"/>
        </w:rPr>
        <w:t>U</w:t>
      </w:r>
      <w:r w:rsidR="00910401" w:rsidRPr="000D7ADE">
        <w:rPr>
          <w:rFonts w:ascii="Corbel" w:hAnsi="Corbel"/>
          <w:sz w:val="22"/>
          <w:szCs w:val="22"/>
          <w:lang w:val="en-GB"/>
        </w:rPr>
        <w:t>nited States</w:t>
      </w:r>
      <w:r w:rsidR="0034089A" w:rsidRPr="000D7ADE">
        <w:rPr>
          <w:rStyle w:val="FootnoteReference"/>
          <w:rFonts w:ascii="Corbel" w:hAnsi="Corbel"/>
          <w:sz w:val="22"/>
          <w:szCs w:val="22"/>
          <w:lang w:val="en-GB"/>
        </w:rPr>
        <w:footnoteReference w:id="1"/>
      </w:r>
      <w:r w:rsidR="00910401" w:rsidRPr="000D7ADE">
        <w:rPr>
          <w:rFonts w:ascii="Corbel" w:hAnsi="Corbel"/>
          <w:sz w:val="22"/>
          <w:szCs w:val="22"/>
          <w:lang w:val="en-GB"/>
        </w:rPr>
        <w:t xml:space="preserve"> </w:t>
      </w:r>
      <w:r w:rsidR="00704071" w:rsidRPr="000D7ADE">
        <w:rPr>
          <w:rFonts w:ascii="Corbel" w:hAnsi="Corbel"/>
          <w:sz w:val="22"/>
          <w:szCs w:val="22"/>
          <w:lang w:val="en-GB"/>
        </w:rPr>
        <w:t xml:space="preserve">for example, the European </w:t>
      </w:r>
      <w:r w:rsidR="00152F22" w:rsidRPr="000D7ADE">
        <w:rPr>
          <w:rFonts w:ascii="Corbel" w:hAnsi="Corbel"/>
          <w:sz w:val="22"/>
          <w:szCs w:val="22"/>
          <w:lang w:val="en-GB"/>
        </w:rPr>
        <w:t>definition</w:t>
      </w:r>
      <w:r w:rsidR="00704071" w:rsidRPr="000D7ADE">
        <w:rPr>
          <w:rFonts w:ascii="Corbel" w:hAnsi="Corbel"/>
          <w:sz w:val="22"/>
          <w:szCs w:val="22"/>
          <w:lang w:val="en-GB"/>
        </w:rPr>
        <w:t xml:space="preserve"> of a foundation is </w:t>
      </w:r>
      <w:r w:rsidR="00467CC2" w:rsidRPr="000D7ADE">
        <w:rPr>
          <w:rFonts w:ascii="Corbel" w:hAnsi="Corbel"/>
          <w:sz w:val="22"/>
          <w:szCs w:val="22"/>
          <w:lang w:val="en-GB"/>
        </w:rPr>
        <w:t>much broader.</w:t>
      </w:r>
      <w:r w:rsidR="00704071" w:rsidRPr="000D7ADE">
        <w:rPr>
          <w:rFonts w:ascii="Corbel" w:hAnsi="Corbel"/>
          <w:sz w:val="22"/>
          <w:szCs w:val="22"/>
          <w:lang w:val="en-GB"/>
        </w:rPr>
        <w:t xml:space="preserve"> </w:t>
      </w:r>
      <w:r w:rsidR="007F5EBB" w:rsidRPr="000D7ADE">
        <w:rPr>
          <w:rFonts w:ascii="Corbel" w:hAnsi="Corbel"/>
          <w:sz w:val="22"/>
          <w:szCs w:val="22"/>
        </w:rPr>
        <w:t>The European Foundation Centre (2007: 6) defines</w:t>
      </w:r>
      <w:r w:rsidR="00CF3075" w:rsidRPr="000D7ADE">
        <w:rPr>
          <w:rFonts w:ascii="Corbel" w:hAnsi="Corbel"/>
          <w:sz w:val="22"/>
          <w:szCs w:val="22"/>
        </w:rPr>
        <w:t xml:space="preserve"> </w:t>
      </w:r>
      <w:r w:rsidR="007F5EBB" w:rsidRPr="000D7ADE">
        <w:rPr>
          <w:rFonts w:ascii="Corbel" w:hAnsi="Corbel"/>
          <w:sz w:val="22"/>
          <w:szCs w:val="22"/>
        </w:rPr>
        <w:t>“public benefit foundations” as:</w:t>
      </w:r>
      <w:r w:rsidR="00CF3075" w:rsidRPr="000D7ADE">
        <w:rPr>
          <w:rFonts w:ascii="Corbel" w:hAnsi="Corbel"/>
          <w:sz w:val="22"/>
          <w:szCs w:val="22"/>
        </w:rPr>
        <w:tab/>
      </w:r>
      <w:r w:rsidR="007F5EBB" w:rsidRPr="000D7ADE">
        <w:rPr>
          <w:rFonts w:ascii="Corbel" w:hAnsi="Corbel"/>
          <w:sz w:val="22"/>
          <w:szCs w:val="22"/>
        </w:rPr>
        <w:t xml:space="preserve"> </w:t>
      </w:r>
      <w:r w:rsidR="00CF3075" w:rsidRPr="000D7ADE">
        <w:rPr>
          <w:rFonts w:ascii="Corbel" w:hAnsi="Corbel"/>
          <w:sz w:val="22"/>
          <w:szCs w:val="22"/>
        </w:rPr>
        <w:br/>
        <w:t xml:space="preserve"> </w:t>
      </w:r>
      <w:r w:rsidR="00CF3075" w:rsidRPr="000D7ADE">
        <w:rPr>
          <w:rFonts w:ascii="Corbel" w:hAnsi="Corbel"/>
          <w:sz w:val="22"/>
          <w:szCs w:val="22"/>
        </w:rPr>
        <w:tab/>
      </w:r>
      <w:r w:rsidR="00CF3075" w:rsidRPr="000D7ADE">
        <w:rPr>
          <w:rFonts w:ascii="Corbel" w:hAnsi="Corbel"/>
          <w:sz w:val="22"/>
          <w:szCs w:val="22"/>
        </w:rPr>
        <w:br/>
        <w:t xml:space="preserve"> </w:t>
      </w:r>
      <w:r w:rsidR="00CF3075" w:rsidRPr="000D7ADE">
        <w:rPr>
          <w:rFonts w:ascii="Corbel" w:hAnsi="Corbel"/>
          <w:sz w:val="22"/>
          <w:szCs w:val="22"/>
        </w:rPr>
        <w:tab/>
      </w:r>
      <w:r w:rsidR="00CF3075" w:rsidRPr="000D7ADE">
        <w:rPr>
          <w:rFonts w:ascii="Corbel" w:hAnsi="Corbel"/>
          <w:i/>
          <w:sz w:val="22"/>
          <w:szCs w:val="22"/>
        </w:rPr>
        <w:t>“I</w:t>
      </w:r>
      <w:r w:rsidR="007F5EBB" w:rsidRPr="000D7ADE">
        <w:rPr>
          <w:rFonts w:ascii="Corbel" w:hAnsi="Corbel"/>
          <w:i/>
          <w:sz w:val="22"/>
          <w:szCs w:val="22"/>
        </w:rPr>
        <w:t xml:space="preserve">ndependent, separately-constituted non-profit bodies with their own established and reliable </w:t>
      </w:r>
      <w:r w:rsidR="00CF3075" w:rsidRPr="000D7ADE">
        <w:rPr>
          <w:rFonts w:ascii="Corbel" w:hAnsi="Corbel"/>
          <w:i/>
          <w:sz w:val="22"/>
          <w:szCs w:val="22"/>
        </w:rPr>
        <w:br/>
        <w:t xml:space="preserve"> </w:t>
      </w:r>
      <w:r w:rsidR="00CF3075" w:rsidRPr="000D7ADE">
        <w:rPr>
          <w:rFonts w:ascii="Corbel" w:hAnsi="Corbel"/>
          <w:i/>
          <w:sz w:val="22"/>
          <w:szCs w:val="22"/>
        </w:rPr>
        <w:tab/>
      </w:r>
      <w:r w:rsidR="007F5EBB" w:rsidRPr="000D7ADE">
        <w:rPr>
          <w:rFonts w:ascii="Corbel" w:hAnsi="Corbel"/>
          <w:i/>
          <w:sz w:val="22"/>
          <w:szCs w:val="22"/>
        </w:rPr>
        <w:t xml:space="preserve">source of income, usually but not exclusively, from an endowment, and their own governing </w:t>
      </w:r>
      <w:r w:rsidR="00CF3075" w:rsidRPr="000D7ADE">
        <w:rPr>
          <w:rFonts w:ascii="Corbel" w:hAnsi="Corbel"/>
          <w:i/>
          <w:sz w:val="22"/>
          <w:szCs w:val="22"/>
        </w:rPr>
        <w:br/>
      </w:r>
      <w:r w:rsidR="00CF3075" w:rsidRPr="000D7ADE">
        <w:rPr>
          <w:rFonts w:ascii="Corbel" w:hAnsi="Corbel"/>
          <w:i/>
          <w:sz w:val="22"/>
          <w:szCs w:val="22"/>
        </w:rPr>
        <w:lastRenderedPageBreak/>
        <w:t xml:space="preserve"> </w:t>
      </w:r>
      <w:r w:rsidR="00CF3075" w:rsidRPr="000D7ADE">
        <w:rPr>
          <w:rFonts w:ascii="Corbel" w:hAnsi="Corbel"/>
          <w:i/>
          <w:sz w:val="22"/>
          <w:szCs w:val="22"/>
        </w:rPr>
        <w:tab/>
      </w:r>
      <w:r w:rsidR="007F5EBB" w:rsidRPr="000D7ADE">
        <w:rPr>
          <w:rFonts w:ascii="Corbel" w:hAnsi="Corbel"/>
          <w:i/>
          <w:sz w:val="22"/>
          <w:szCs w:val="22"/>
        </w:rPr>
        <w:t xml:space="preserve">board. They distribute their financial resources for educational, cultural, religious, social or </w:t>
      </w:r>
      <w:r w:rsidR="00CF3075" w:rsidRPr="000D7ADE">
        <w:rPr>
          <w:rFonts w:ascii="Corbel" w:hAnsi="Corbel"/>
          <w:i/>
          <w:sz w:val="22"/>
          <w:szCs w:val="22"/>
        </w:rPr>
        <w:br/>
        <w:t xml:space="preserve"> </w:t>
      </w:r>
      <w:r w:rsidR="00CF3075" w:rsidRPr="000D7ADE">
        <w:rPr>
          <w:rFonts w:ascii="Corbel" w:hAnsi="Corbel"/>
          <w:i/>
          <w:sz w:val="22"/>
          <w:szCs w:val="22"/>
        </w:rPr>
        <w:tab/>
      </w:r>
      <w:r w:rsidR="007F5EBB" w:rsidRPr="000D7ADE">
        <w:rPr>
          <w:rFonts w:ascii="Corbel" w:hAnsi="Corbel"/>
          <w:i/>
          <w:sz w:val="22"/>
          <w:szCs w:val="22"/>
        </w:rPr>
        <w:t xml:space="preserve">other public benefit purposes, either by supporting associations, charities, educational </w:t>
      </w:r>
      <w:r w:rsidR="00CF3075" w:rsidRPr="000D7ADE">
        <w:rPr>
          <w:rFonts w:ascii="Corbel" w:hAnsi="Corbel"/>
          <w:i/>
          <w:sz w:val="22"/>
          <w:szCs w:val="22"/>
        </w:rPr>
        <w:br/>
        <w:t xml:space="preserve"> </w:t>
      </w:r>
      <w:r w:rsidR="00CF3075" w:rsidRPr="000D7ADE">
        <w:rPr>
          <w:rFonts w:ascii="Corbel" w:hAnsi="Corbel"/>
          <w:i/>
          <w:sz w:val="22"/>
          <w:szCs w:val="22"/>
        </w:rPr>
        <w:tab/>
      </w:r>
      <w:r w:rsidR="007F5EBB" w:rsidRPr="000D7ADE">
        <w:rPr>
          <w:rFonts w:ascii="Corbel" w:hAnsi="Corbel"/>
          <w:i/>
          <w:sz w:val="22"/>
          <w:szCs w:val="22"/>
        </w:rPr>
        <w:t>institutions or individuals, or by operating their own programs”.</w:t>
      </w:r>
      <w:r w:rsidR="007F5EBB" w:rsidRPr="000D7ADE">
        <w:rPr>
          <w:rStyle w:val="FootnoteReference"/>
          <w:rFonts w:ascii="Corbel" w:hAnsi="Corbel"/>
          <w:i/>
          <w:sz w:val="22"/>
          <w:szCs w:val="22"/>
        </w:rPr>
        <w:footnoteReference w:id="2"/>
      </w:r>
    </w:p>
    <w:p w:rsidR="00306311" w:rsidRPr="000D7ADE" w:rsidRDefault="00306311" w:rsidP="004551D0">
      <w:pPr>
        <w:spacing w:line="276" w:lineRule="auto"/>
        <w:jc w:val="both"/>
        <w:rPr>
          <w:rFonts w:ascii="Corbel" w:hAnsi="Corbel"/>
          <w:i/>
          <w:sz w:val="22"/>
          <w:szCs w:val="22"/>
        </w:rPr>
      </w:pPr>
    </w:p>
    <w:p w:rsidR="002725A6" w:rsidRPr="000D7ADE" w:rsidRDefault="00912280" w:rsidP="00912280">
      <w:pPr>
        <w:spacing w:line="276" w:lineRule="auto"/>
        <w:jc w:val="both"/>
        <w:rPr>
          <w:rFonts w:ascii="Corbel" w:hAnsi="Corbel"/>
          <w:sz w:val="22"/>
          <w:szCs w:val="22"/>
        </w:rPr>
      </w:pPr>
      <w:r w:rsidRPr="000D7ADE">
        <w:rPr>
          <w:rFonts w:ascii="Corbel" w:hAnsi="Corbel"/>
          <w:sz w:val="22"/>
          <w:szCs w:val="22"/>
        </w:rPr>
        <w:t>In order to define the scope of this study, two important aspects need to be clarified in more detail.</w:t>
      </w:r>
    </w:p>
    <w:p w:rsidR="00306311" w:rsidRPr="000D7ADE" w:rsidRDefault="00912280" w:rsidP="00912280">
      <w:pPr>
        <w:spacing w:line="276" w:lineRule="auto"/>
        <w:jc w:val="both"/>
        <w:rPr>
          <w:rFonts w:ascii="Corbel" w:hAnsi="Corbel"/>
          <w:sz w:val="22"/>
          <w:szCs w:val="22"/>
        </w:rPr>
      </w:pPr>
      <w:r w:rsidRPr="000D7ADE">
        <w:rPr>
          <w:rFonts w:ascii="Corbel" w:hAnsi="Corbel"/>
          <w:sz w:val="22"/>
          <w:szCs w:val="22"/>
        </w:rPr>
        <w:t xml:space="preserve"> </w:t>
      </w:r>
    </w:p>
    <w:p w:rsidR="00912280" w:rsidRPr="000D7ADE" w:rsidRDefault="00306311" w:rsidP="002725A6">
      <w:pPr>
        <w:spacing w:line="276" w:lineRule="auto"/>
        <w:jc w:val="both"/>
        <w:rPr>
          <w:rFonts w:ascii="Corbel" w:hAnsi="Corbel"/>
          <w:i/>
          <w:sz w:val="22"/>
          <w:szCs w:val="22"/>
        </w:rPr>
      </w:pPr>
      <w:r w:rsidRPr="000D7ADE">
        <w:rPr>
          <w:rFonts w:ascii="Corbel" w:hAnsi="Corbel"/>
          <w:i/>
          <w:sz w:val="22"/>
          <w:szCs w:val="22"/>
        </w:rPr>
        <w:t xml:space="preserve">1.  </w:t>
      </w:r>
      <w:r w:rsidR="00912280" w:rsidRPr="000D7ADE">
        <w:rPr>
          <w:rFonts w:ascii="Corbel" w:hAnsi="Corbel"/>
          <w:i/>
          <w:sz w:val="22"/>
          <w:szCs w:val="22"/>
        </w:rPr>
        <w:t>Way of supporting</w:t>
      </w:r>
      <w:r w:rsidRPr="000D7ADE">
        <w:rPr>
          <w:rFonts w:ascii="Corbel" w:hAnsi="Corbel"/>
          <w:i/>
          <w:sz w:val="22"/>
          <w:szCs w:val="22"/>
        </w:rPr>
        <w:tab/>
      </w:r>
    </w:p>
    <w:p w:rsidR="002725A6" w:rsidRPr="000D7ADE" w:rsidRDefault="00912280" w:rsidP="00E20F70">
      <w:pPr>
        <w:spacing w:line="276" w:lineRule="auto"/>
        <w:jc w:val="both"/>
        <w:rPr>
          <w:rFonts w:ascii="Corbel" w:hAnsi="Corbel"/>
          <w:sz w:val="22"/>
          <w:szCs w:val="22"/>
        </w:rPr>
      </w:pPr>
      <w:r w:rsidRPr="000D7ADE">
        <w:rPr>
          <w:rFonts w:ascii="Corbel" w:hAnsi="Corbel"/>
          <w:sz w:val="22"/>
          <w:szCs w:val="22"/>
        </w:rPr>
        <w:t xml:space="preserve">In this study we only focus on the </w:t>
      </w:r>
      <w:r w:rsidRPr="000D7ADE">
        <w:rPr>
          <w:rFonts w:ascii="Corbel" w:hAnsi="Corbel"/>
          <w:i/>
          <w:sz w:val="22"/>
          <w:szCs w:val="22"/>
        </w:rPr>
        <w:t>grant</w:t>
      </w:r>
      <w:r w:rsidR="002C1EFB" w:rsidRPr="000D7ADE">
        <w:rPr>
          <w:rFonts w:ascii="Corbel" w:hAnsi="Corbel"/>
          <w:i/>
          <w:sz w:val="22"/>
          <w:szCs w:val="22"/>
        </w:rPr>
        <w:t xml:space="preserve"> </w:t>
      </w:r>
      <w:r w:rsidRPr="000D7ADE">
        <w:rPr>
          <w:rFonts w:ascii="Corbel" w:hAnsi="Corbel"/>
          <w:i/>
          <w:sz w:val="22"/>
          <w:szCs w:val="22"/>
        </w:rPr>
        <w:t>making activities</w:t>
      </w:r>
      <w:r w:rsidRPr="000D7ADE">
        <w:rPr>
          <w:rFonts w:ascii="Corbel" w:hAnsi="Corbel"/>
          <w:sz w:val="22"/>
          <w:szCs w:val="22"/>
        </w:rPr>
        <w:t xml:space="preserve"> of foundations. Foundations that primarily operate their own </w:t>
      </w:r>
      <w:r w:rsidR="0034089A" w:rsidRPr="000D7ADE">
        <w:rPr>
          <w:rFonts w:ascii="Corbel" w:hAnsi="Corbel"/>
          <w:sz w:val="22"/>
          <w:szCs w:val="22"/>
        </w:rPr>
        <w:t>programs</w:t>
      </w:r>
      <w:r w:rsidRPr="000D7ADE">
        <w:rPr>
          <w:rFonts w:ascii="Corbel" w:hAnsi="Corbel"/>
          <w:sz w:val="22"/>
          <w:szCs w:val="22"/>
        </w:rPr>
        <w:t xml:space="preserve"> and projects (operating foundations) are </w:t>
      </w:r>
      <w:r w:rsidR="002725A6" w:rsidRPr="000D7ADE">
        <w:rPr>
          <w:rFonts w:ascii="Corbel" w:hAnsi="Corbel"/>
          <w:sz w:val="22"/>
          <w:szCs w:val="22"/>
        </w:rPr>
        <w:t xml:space="preserve">therefore </w:t>
      </w:r>
      <w:r w:rsidRPr="000D7ADE">
        <w:rPr>
          <w:rFonts w:ascii="Corbel" w:hAnsi="Corbel"/>
          <w:sz w:val="22"/>
          <w:szCs w:val="22"/>
        </w:rPr>
        <w:t xml:space="preserve">excluded from the study. </w:t>
      </w:r>
      <w:r w:rsidR="002725A6" w:rsidRPr="000D7ADE">
        <w:rPr>
          <w:rFonts w:ascii="Corbel" w:hAnsi="Corbel"/>
          <w:sz w:val="22"/>
          <w:szCs w:val="22"/>
        </w:rPr>
        <w:t>With regard to the so called mi</w:t>
      </w:r>
      <w:r w:rsidRPr="000D7ADE">
        <w:rPr>
          <w:rFonts w:ascii="Corbel" w:hAnsi="Corbel"/>
          <w:sz w:val="22"/>
          <w:szCs w:val="22"/>
        </w:rPr>
        <w:t>xed foundations</w:t>
      </w:r>
      <w:r w:rsidR="002725A6" w:rsidRPr="000D7ADE">
        <w:rPr>
          <w:rFonts w:ascii="Corbel" w:hAnsi="Corbel"/>
          <w:sz w:val="22"/>
          <w:szCs w:val="22"/>
        </w:rPr>
        <w:t xml:space="preserve"> (</w:t>
      </w:r>
      <w:r w:rsidRPr="000D7ADE">
        <w:rPr>
          <w:rFonts w:ascii="Corbel" w:hAnsi="Corbel"/>
          <w:sz w:val="22"/>
          <w:szCs w:val="22"/>
        </w:rPr>
        <w:t xml:space="preserve">foundations that are engaged in </w:t>
      </w:r>
      <w:r w:rsidR="0035162E" w:rsidRPr="000D7ADE">
        <w:rPr>
          <w:rFonts w:ascii="Corbel" w:hAnsi="Corbel"/>
          <w:sz w:val="22"/>
          <w:szCs w:val="22"/>
        </w:rPr>
        <w:t>grant making</w:t>
      </w:r>
      <w:r w:rsidRPr="000D7ADE">
        <w:rPr>
          <w:rFonts w:ascii="Corbel" w:hAnsi="Corbel"/>
          <w:sz w:val="22"/>
          <w:szCs w:val="22"/>
        </w:rPr>
        <w:t xml:space="preserve"> </w:t>
      </w:r>
      <w:r w:rsidR="002725A6" w:rsidRPr="000D7ADE">
        <w:rPr>
          <w:rFonts w:ascii="Corbel" w:hAnsi="Corbel"/>
          <w:sz w:val="22"/>
          <w:szCs w:val="22"/>
        </w:rPr>
        <w:t xml:space="preserve">and operating </w:t>
      </w:r>
      <w:r w:rsidRPr="000D7ADE">
        <w:rPr>
          <w:rFonts w:ascii="Corbel" w:hAnsi="Corbel"/>
          <w:sz w:val="22"/>
          <w:szCs w:val="22"/>
        </w:rPr>
        <w:t>activities</w:t>
      </w:r>
      <w:r w:rsidR="002725A6" w:rsidRPr="000D7ADE">
        <w:rPr>
          <w:rFonts w:ascii="Corbel" w:hAnsi="Corbel"/>
          <w:sz w:val="22"/>
          <w:szCs w:val="22"/>
        </w:rPr>
        <w:t xml:space="preserve">), we only focus on the </w:t>
      </w:r>
      <w:r w:rsidR="0035162E" w:rsidRPr="000D7ADE">
        <w:rPr>
          <w:rFonts w:ascii="Corbel" w:hAnsi="Corbel"/>
          <w:sz w:val="22"/>
          <w:szCs w:val="22"/>
        </w:rPr>
        <w:t>grant making</w:t>
      </w:r>
      <w:r w:rsidR="002725A6" w:rsidRPr="000D7ADE">
        <w:rPr>
          <w:rFonts w:ascii="Corbel" w:hAnsi="Corbel"/>
          <w:sz w:val="22"/>
          <w:szCs w:val="22"/>
        </w:rPr>
        <w:t xml:space="preserve"> activities of these foundations.</w:t>
      </w:r>
      <w:r w:rsidR="00152F22" w:rsidRPr="000D7ADE">
        <w:rPr>
          <w:rFonts w:ascii="Corbel" w:hAnsi="Corbel"/>
        </w:rPr>
        <w:t xml:space="preserve"> </w:t>
      </w:r>
      <w:r w:rsidR="00152F22" w:rsidRPr="000D7ADE">
        <w:rPr>
          <w:rFonts w:ascii="Corbel" w:hAnsi="Corbel"/>
          <w:sz w:val="22"/>
          <w:szCs w:val="22"/>
        </w:rPr>
        <w:t xml:space="preserve">It is also useful to clarify the difference between donating and </w:t>
      </w:r>
      <w:r w:rsidR="00910401" w:rsidRPr="000D7ADE">
        <w:rPr>
          <w:rFonts w:ascii="Corbel" w:hAnsi="Corbel"/>
          <w:sz w:val="22"/>
          <w:szCs w:val="22"/>
        </w:rPr>
        <w:t xml:space="preserve">other ways of contributing to the mission of the foundation. Relatively new concepts and practices such as mission related investments, loans, guarantees etc. are excluded from this study. </w:t>
      </w:r>
    </w:p>
    <w:p w:rsidR="002725A6" w:rsidRPr="000D7ADE" w:rsidRDefault="002725A6" w:rsidP="00E20F70">
      <w:pPr>
        <w:spacing w:line="276" w:lineRule="auto"/>
        <w:jc w:val="both"/>
        <w:rPr>
          <w:rFonts w:ascii="Corbel" w:hAnsi="Corbel"/>
          <w:sz w:val="22"/>
          <w:szCs w:val="22"/>
        </w:rPr>
      </w:pPr>
    </w:p>
    <w:p w:rsidR="002725A6" w:rsidRPr="000D7ADE" w:rsidRDefault="00306311" w:rsidP="00E20F70">
      <w:pPr>
        <w:spacing w:line="276" w:lineRule="auto"/>
        <w:jc w:val="both"/>
        <w:rPr>
          <w:rFonts w:ascii="Corbel" w:hAnsi="Corbel"/>
          <w:i/>
          <w:sz w:val="22"/>
          <w:szCs w:val="22"/>
        </w:rPr>
      </w:pPr>
      <w:r w:rsidRPr="000D7ADE">
        <w:rPr>
          <w:rFonts w:ascii="Corbel" w:hAnsi="Corbel"/>
          <w:i/>
          <w:sz w:val="22"/>
          <w:szCs w:val="22"/>
        </w:rPr>
        <w:t xml:space="preserve">2.  </w:t>
      </w:r>
      <w:r w:rsidR="00912280" w:rsidRPr="000D7ADE">
        <w:rPr>
          <w:rFonts w:ascii="Corbel" w:hAnsi="Corbel"/>
          <w:i/>
          <w:sz w:val="22"/>
          <w:szCs w:val="22"/>
        </w:rPr>
        <w:t>Source of income</w:t>
      </w:r>
      <w:r w:rsidR="002725A6" w:rsidRPr="000D7ADE">
        <w:rPr>
          <w:rFonts w:ascii="Corbel" w:hAnsi="Corbel"/>
          <w:i/>
          <w:sz w:val="22"/>
          <w:szCs w:val="22"/>
        </w:rPr>
        <w:t xml:space="preserve"> </w:t>
      </w:r>
    </w:p>
    <w:p w:rsidR="00330732" w:rsidRPr="00330732" w:rsidRDefault="00306311" w:rsidP="00330732">
      <w:pPr>
        <w:spacing w:line="276" w:lineRule="auto"/>
        <w:jc w:val="both"/>
        <w:rPr>
          <w:rFonts w:ascii="Corbel" w:hAnsi="Corbel"/>
          <w:sz w:val="22"/>
          <w:szCs w:val="22"/>
        </w:rPr>
      </w:pPr>
      <w:r w:rsidRPr="000D7ADE">
        <w:rPr>
          <w:rFonts w:ascii="Corbel" w:hAnsi="Corbel"/>
          <w:sz w:val="22"/>
          <w:szCs w:val="22"/>
        </w:rPr>
        <w:t xml:space="preserve">In this study we focus on foundations </w:t>
      </w:r>
      <w:r w:rsidR="00A93FDA" w:rsidRPr="000D7ADE">
        <w:rPr>
          <w:rFonts w:ascii="Corbel" w:hAnsi="Corbel"/>
          <w:sz w:val="22"/>
          <w:szCs w:val="22"/>
        </w:rPr>
        <w:t>who derives it funds from</w:t>
      </w:r>
      <w:r w:rsidRPr="000D7ADE">
        <w:rPr>
          <w:rFonts w:ascii="Corbel" w:hAnsi="Corbel"/>
          <w:sz w:val="22"/>
          <w:szCs w:val="22"/>
        </w:rPr>
        <w:t xml:space="preserve"> an</w:t>
      </w:r>
      <w:r w:rsidR="00A93FDA" w:rsidRPr="000D7ADE">
        <w:rPr>
          <w:rFonts w:ascii="Corbel" w:hAnsi="Corbel"/>
          <w:sz w:val="22"/>
          <w:szCs w:val="22"/>
        </w:rPr>
        <w:t xml:space="preserve"> </w:t>
      </w:r>
      <w:r w:rsidRPr="000D7ADE">
        <w:rPr>
          <w:rFonts w:ascii="Corbel" w:hAnsi="Corbel"/>
          <w:sz w:val="22"/>
          <w:szCs w:val="22"/>
        </w:rPr>
        <w:t>endowment or a</w:t>
      </w:r>
      <w:r w:rsidR="002725A6" w:rsidRPr="000D7ADE">
        <w:rPr>
          <w:rFonts w:ascii="Corbel" w:hAnsi="Corbel"/>
          <w:sz w:val="22"/>
          <w:szCs w:val="22"/>
        </w:rPr>
        <w:t xml:space="preserve"> </w:t>
      </w:r>
      <w:r w:rsidR="00152F22" w:rsidRPr="000D7ADE">
        <w:rPr>
          <w:rFonts w:ascii="Corbel" w:hAnsi="Corbel"/>
          <w:sz w:val="22"/>
          <w:szCs w:val="22"/>
        </w:rPr>
        <w:t xml:space="preserve">structural </w:t>
      </w:r>
      <w:r w:rsidR="002725A6" w:rsidRPr="000D7ADE">
        <w:rPr>
          <w:rFonts w:ascii="Corbel" w:hAnsi="Corbel"/>
          <w:sz w:val="22"/>
          <w:szCs w:val="22"/>
        </w:rPr>
        <w:t>single private source of reve</w:t>
      </w:r>
      <w:r w:rsidR="00152F22" w:rsidRPr="000D7ADE">
        <w:rPr>
          <w:rFonts w:ascii="Corbel" w:hAnsi="Corbel"/>
          <w:sz w:val="22"/>
          <w:szCs w:val="22"/>
        </w:rPr>
        <w:t>nues, be it a family, an individual, corporation or other organization</w:t>
      </w:r>
      <w:r w:rsidR="00EF1985" w:rsidRPr="000D7ADE">
        <w:rPr>
          <w:rFonts w:ascii="Corbel" w:hAnsi="Corbel"/>
          <w:sz w:val="22"/>
          <w:szCs w:val="22"/>
        </w:rPr>
        <w:t xml:space="preserve"> and does not solicit direct funds from the public</w:t>
      </w:r>
      <w:r w:rsidR="00152F22" w:rsidRPr="000D7ADE">
        <w:rPr>
          <w:rFonts w:ascii="Corbel" w:hAnsi="Corbel"/>
          <w:sz w:val="22"/>
          <w:szCs w:val="22"/>
        </w:rPr>
        <w:t xml:space="preserve">. </w:t>
      </w:r>
      <w:r w:rsidR="00EF1985" w:rsidRPr="000D7ADE">
        <w:rPr>
          <w:rFonts w:ascii="Corbel" w:hAnsi="Corbel"/>
          <w:sz w:val="22"/>
          <w:szCs w:val="22"/>
        </w:rPr>
        <w:t>Therefore, f</w:t>
      </w:r>
      <w:r w:rsidR="00152F22" w:rsidRPr="000D7ADE">
        <w:rPr>
          <w:rFonts w:ascii="Corbel" w:hAnsi="Corbel"/>
          <w:sz w:val="22"/>
          <w:szCs w:val="22"/>
        </w:rPr>
        <w:t xml:space="preserve">oundations primarily dependent on fundraising </w:t>
      </w:r>
      <w:r w:rsidR="00884E37" w:rsidRPr="000D7ADE">
        <w:rPr>
          <w:rFonts w:ascii="Corbel" w:hAnsi="Corbel"/>
          <w:sz w:val="22"/>
          <w:szCs w:val="22"/>
        </w:rPr>
        <w:t xml:space="preserve">from the public </w:t>
      </w:r>
      <w:r w:rsidR="00EF1985" w:rsidRPr="000D7ADE">
        <w:rPr>
          <w:rFonts w:ascii="Corbel" w:hAnsi="Corbel"/>
          <w:sz w:val="22"/>
          <w:szCs w:val="22"/>
        </w:rPr>
        <w:t xml:space="preserve">and </w:t>
      </w:r>
      <w:r w:rsidR="001077C1" w:rsidRPr="000D7ADE">
        <w:rPr>
          <w:rFonts w:ascii="Corbel" w:hAnsi="Corbel"/>
          <w:sz w:val="22"/>
          <w:szCs w:val="22"/>
        </w:rPr>
        <w:t>community foundations</w:t>
      </w:r>
      <w:r w:rsidR="00884E37" w:rsidRPr="000D7ADE">
        <w:rPr>
          <w:rFonts w:ascii="Corbel" w:hAnsi="Corbel"/>
          <w:sz w:val="22"/>
          <w:szCs w:val="22"/>
        </w:rPr>
        <w:t>/donor advised funds</w:t>
      </w:r>
      <w:r w:rsidR="00EF1985" w:rsidRPr="000D7ADE">
        <w:rPr>
          <w:rFonts w:ascii="Corbel" w:hAnsi="Corbel"/>
          <w:sz w:val="22"/>
          <w:szCs w:val="22"/>
        </w:rPr>
        <w:t xml:space="preserve"> -</w:t>
      </w:r>
      <w:r w:rsidR="00884E37" w:rsidRPr="000D7ADE">
        <w:rPr>
          <w:rFonts w:ascii="Corbel" w:hAnsi="Corbel"/>
          <w:sz w:val="22"/>
          <w:szCs w:val="22"/>
        </w:rPr>
        <w:t xml:space="preserve"> supported by a broad range of private donors - are excluded from the study</w:t>
      </w:r>
      <w:r w:rsidR="00EF1985" w:rsidRPr="000D7ADE">
        <w:rPr>
          <w:rFonts w:ascii="Corbel" w:hAnsi="Corbel"/>
          <w:sz w:val="22"/>
          <w:szCs w:val="22"/>
        </w:rPr>
        <w:t>.</w:t>
      </w:r>
      <w:r w:rsidR="00884E37" w:rsidRPr="000D7ADE">
        <w:rPr>
          <w:rFonts w:ascii="Corbel" w:hAnsi="Corbel"/>
          <w:sz w:val="22"/>
          <w:szCs w:val="22"/>
        </w:rPr>
        <w:t xml:space="preserve"> </w:t>
      </w:r>
      <w:r w:rsidR="00330732" w:rsidRPr="00330732">
        <w:rPr>
          <w:rFonts w:ascii="Corbel" w:hAnsi="Corbel"/>
          <w:sz w:val="22"/>
          <w:szCs w:val="22"/>
        </w:rPr>
        <w:t>In some Member States in Europe, foundations can be set up and funded by the government. These so-called government-sponsored foundations are excluded from the study.</w:t>
      </w:r>
    </w:p>
    <w:p w:rsidR="00330732" w:rsidRDefault="00330732" w:rsidP="00E00843">
      <w:pPr>
        <w:spacing w:line="276" w:lineRule="auto"/>
        <w:jc w:val="both"/>
        <w:rPr>
          <w:rFonts w:ascii="Corbel" w:hAnsi="Corbel"/>
          <w:sz w:val="22"/>
          <w:szCs w:val="22"/>
        </w:rPr>
      </w:pPr>
    </w:p>
    <w:p w:rsidR="00E00843" w:rsidRPr="000D7ADE" w:rsidRDefault="00D52745" w:rsidP="00E00843">
      <w:pPr>
        <w:spacing w:line="276" w:lineRule="auto"/>
        <w:jc w:val="both"/>
        <w:rPr>
          <w:rFonts w:ascii="Corbel" w:hAnsi="Corbel"/>
          <w:sz w:val="22"/>
          <w:szCs w:val="22"/>
        </w:rPr>
      </w:pPr>
      <w:r w:rsidRPr="000D7ADE">
        <w:rPr>
          <w:rFonts w:ascii="Corbel" w:hAnsi="Corbel"/>
          <w:sz w:val="22"/>
          <w:szCs w:val="22"/>
        </w:rPr>
        <w:t>Institutional private charity donors, such as charity lotteries, are included in the study</w:t>
      </w:r>
      <w:r w:rsidR="00EF1985" w:rsidRPr="000D7ADE">
        <w:rPr>
          <w:rFonts w:ascii="Corbel" w:hAnsi="Corbel"/>
          <w:sz w:val="22"/>
          <w:szCs w:val="22"/>
        </w:rPr>
        <w:t>. Charity lotteries receive</w:t>
      </w:r>
      <w:r w:rsidRPr="000D7ADE">
        <w:rPr>
          <w:rFonts w:ascii="Corbel" w:hAnsi="Corbel"/>
          <w:sz w:val="22"/>
          <w:szCs w:val="22"/>
        </w:rPr>
        <w:t xml:space="preserve"> income from a structural single source of revenue (proceeds from the sale of lotteries) and could </w:t>
      </w:r>
      <w:r w:rsidR="00EF1985" w:rsidRPr="000D7ADE">
        <w:rPr>
          <w:rFonts w:ascii="Corbel" w:hAnsi="Corbel"/>
          <w:sz w:val="22"/>
          <w:szCs w:val="22"/>
        </w:rPr>
        <w:t xml:space="preserve">also </w:t>
      </w:r>
      <w:r w:rsidRPr="000D7ADE">
        <w:rPr>
          <w:rFonts w:ascii="Corbel" w:hAnsi="Corbel"/>
          <w:sz w:val="22"/>
          <w:szCs w:val="22"/>
        </w:rPr>
        <w:t xml:space="preserve">be compared to a foundation in </w:t>
      </w:r>
      <w:r w:rsidR="00EF1985" w:rsidRPr="000D7ADE">
        <w:rPr>
          <w:rFonts w:ascii="Corbel" w:hAnsi="Corbel"/>
          <w:sz w:val="22"/>
          <w:szCs w:val="22"/>
        </w:rPr>
        <w:t>the</w:t>
      </w:r>
      <w:r w:rsidR="00662519" w:rsidRPr="000D7ADE">
        <w:rPr>
          <w:rFonts w:ascii="Corbel" w:hAnsi="Corbel"/>
          <w:sz w:val="22"/>
          <w:szCs w:val="22"/>
        </w:rPr>
        <w:t>ir</w:t>
      </w:r>
      <w:r w:rsidR="00EF1985" w:rsidRPr="000D7ADE">
        <w:rPr>
          <w:rFonts w:ascii="Corbel" w:hAnsi="Corbel"/>
          <w:sz w:val="22"/>
          <w:szCs w:val="22"/>
        </w:rPr>
        <w:t xml:space="preserve"> </w:t>
      </w:r>
      <w:r w:rsidR="00662519" w:rsidRPr="000D7ADE">
        <w:rPr>
          <w:rFonts w:ascii="Corbel" w:hAnsi="Corbel"/>
          <w:sz w:val="22"/>
          <w:szCs w:val="22"/>
        </w:rPr>
        <w:t xml:space="preserve">independent </w:t>
      </w:r>
      <w:r w:rsidR="00EF1985" w:rsidRPr="000D7ADE">
        <w:rPr>
          <w:rFonts w:ascii="Corbel" w:hAnsi="Corbel"/>
          <w:sz w:val="22"/>
          <w:szCs w:val="22"/>
        </w:rPr>
        <w:t xml:space="preserve">way of </w:t>
      </w:r>
      <w:r w:rsidR="00662519" w:rsidRPr="000D7ADE">
        <w:rPr>
          <w:rFonts w:ascii="Corbel" w:hAnsi="Corbel"/>
          <w:sz w:val="22"/>
          <w:szCs w:val="22"/>
        </w:rPr>
        <w:t xml:space="preserve">making grants and allocations. </w:t>
      </w:r>
      <w:r w:rsidR="007E72EF">
        <w:rPr>
          <w:rFonts w:ascii="Corbel" w:hAnsi="Corbel"/>
          <w:sz w:val="22"/>
          <w:szCs w:val="22"/>
        </w:rPr>
        <w:t>This is in line with the current developments within the European Foundation Center to introduce the term ‘i</w:t>
      </w:r>
      <w:r w:rsidR="007E72EF" w:rsidRPr="007E72EF">
        <w:rPr>
          <w:rFonts w:ascii="Corbel" w:hAnsi="Corbel"/>
          <w:sz w:val="22"/>
          <w:szCs w:val="22"/>
        </w:rPr>
        <w:t>nstitutional philanthropy</w:t>
      </w:r>
      <w:r w:rsidR="007E72EF">
        <w:rPr>
          <w:rFonts w:ascii="Corbel" w:hAnsi="Corbel"/>
          <w:sz w:val="22"/>
          <w:szCs w:val="22"/>
        </w:rPr>
        <w:t>’.</w:t>
      </w:r>
      <w:r w:rsidR="007E72EF" w:rsidRPr="007E72EF">
        <w:rPr>
          <w:rFonts w:ascii="Corbel" w:hAnsi="Corbel"/>
          <w:sz w:val="22"/>
          <w:szCs w:val="22"/>
        </w:rPr>
        <w:t xml:space="preserve"> </w:t>
      </w:r>
    </w:p>
    <w:p w:rsidR="00E00843" w:rsidRPr="000D7ADE" w:rsidRDefault="00E00843" w:rsidP="006F760E">
      <w:pPr>
        <w:spacing w:line="276" w:lineRule="auto"/>
        <w:jc w:val="both"/>
        <w:rPr>
          <w:rFonts w:ascii="Corbel" w:hAnsi="Corbel"/>
          <w:sz w:val="22"/>
          <w:szCs w:val="22"/>
        </w:rPr>
      </w:pPr>
    </w:p>
    <w:p w:rsidR="00C44079" w:rsidRPr="000D7ADE" w:rsidRDefault="00156751" w:rsidP="004551D0">
      <w:pPr>
        <w:spacing w:line="276" w:lineRule="auto"/>
        <w:jc w:val="both"/>
        <w:rPr>
          <w:rFonts w:ascii="Corbel" w:hAnsi="Corbel"/>
          <w:sz w:val="22"/>
          <w:szCs w:val="22"/>
        </w:rPr>
      </w:pPr>
      <w:r w:rsidRPr="000D7ADE">
        <w:rPr>
          <w:rFonts w:ascii="Corbel" w:hAnsi="Corbel"/>
          <w:sz w:val="22"/>
          <w:szCs w:val="22"/>
        </w:rPr>
        <w:t xml:space="preserve">We focus on foundations </w:t>
      </w:r>
      <w:r w:rsidR="009B030C" w:rsidRPr="000D7ADE">
        <w:rPr>
          <w:rFonts w:ascii="Corbel" w:hAnsi="Corbel"/>
          <w:sz w:val="22"/>
          <w:szCs w:val="22"/>
        </w:rPr>
        <w:t>as a business entity. Some foundations use sub-foundation</w:t>
      </w:r>
      <w:r w:rsidRPr="000D7ADE">
        <w:rPr>
          <w:rFonts w:ascii="Corbel" w:hAnsi="Corbel"/>
          <w:sz w:val="22"/>
          <w:szCs w:val="22"/>
        </w:rPr>
        <w:t>s</w:t>
      </w:r>
      <w:r w:rsidR="009B030C" w:rsidRPr="000D7ADE">
        <w:rPr>
          <w:rFonts w:ascii="Corbel" w:hAnsi="Corbel"/>
          <w:sz w:val="22"/>
          <w:szCs w:val="22"/>
        </w:rPr>
        <w:t xml:space="preserve"> in order to be able to monitor and evaluate projects on a more local scope. A foundation is considered to be a single business entity when they file tax forms as such, maintain financials as a single entity and have a global office or board that represents the sub-foundations and dict</w:t>
      </w:r>
      <w:r w:rsidR="004A676A" w:rsidRPr="000D7ADE">
        <w:rPr>
          <w:rFonts w:ascii="Corbel" w:hAnsi="Corbel"/>
          <w:sz w:val="22"/>
          <w:szCs w:val="22"/>
        </w:rPr>
        <w:t xml:space="preserve">ates their general principles. </w:t>
      </w:r>
    </w:p>
    <w:p w:rsidR="001B1861" w:rsidRPr="000D7ADE" w:rsidRDefault="001B1861" w:rsidP="004551D0">
      <w:pPr>
        <w:spacing w:line="276" w:lineRule="auto"/>
        <w:jc w:val="both"/>
        <w:rPr>
          <w:rFonts w:ascii="Corbel" w:hAnsi="Corbel"/>
          <w:sz w:val="22"/>
          <w:szCs w:val="22"/>
        </w:rPr>
      </w:pPr>
    </w:p>
    <w:p w:rsidR="004A676A" w:rsidRPr="000D7ADE" w:rsidRDefault="000D69E2" w:rsidP="004551D0">
      <w:pPr>
        <w:pStyle w:val="ListParagraph"/>
        <w:numPr>
          <w:ilvl w:val="0"/>
          <w:numId w:val="2"/>
        </w:numPr>
        <w:spacing w:line="276" w:lineRule="auto"/>
        <w:jc w:val="both"/>
        <w:rPr>
          <w:rFonts w:ascii="Corbel" w:hAnsi="Corbel"/>
          <w:b/>
          <w:i/>
          <w:sz w:val="22"/>
          <w:szCs w:val="22"/>
        </w:rPr>
      </w:pPr>
      <w:r w:rsidRPr="000D7ADE">
        <w:rPr>
          <w:rFonts w:ascii="Corbel" w:hAnsi="Corbel"/>
          <w:b/>
          <w:i/>
          <w:sz w:val="22"/>
          <w:szCs w:val="22"/>
        </w:rPr>
        <w:t>Procedure of comprising the lists</w:t>
      </w:r>
    </w:p>
    <w:p w:rsidR="001E01AB" w:rsidRPr="000D7ADE" w:rsidRDefault="007C6155" w:rsidP="004551D0">
      <w:pPr>
        <w:spacing w:line="276" w:lineRule="auto"/>
        <w:jc w:val="both"/>
        <w:rPr>
          <w:rFonts w:ascii="Corbel" w:hAnsi="Corbel"/>
          <w:sz w:val="22"/>
          <w:szCs w:val="22"/>
        </w:rPr>
      </w:pPr>
      <w:r w:rsidRPr="000D7ADE">
        <w:rPr>
          <w:rFonts w:ascii="Corbel" w:hAnsi="Corbel"/>
          <w:sz w:val="22"/>
          <w:szCs w:val="22"/>
        </w:rPr>
        <w:br/>
      </w:r>
      <w:r w:rsidR="00910401" w:rsidRPr="000D7ADE">
        <w:rPr>
          <w:rFonts w:ascii="Corbel" w:hAnsi="Corbel"/>
          <w:sz w:val="22"/>
          <w:szCs w:val="22"/>
        </w:rPr>
        <w:t>T</w:t>
      </w:r>
      <w:r w:rsidR="004A676A" w:rsidRPr="000D7ADE">
        <w:rPr>
          <w:rFonts w:ascii="Corbel" w:hAnsi="Corbel"/>
          <w:sz w:val="22"/>
          <w:szCs w:val="22"/>
        </w:rPr>
        <w:t>he City A.M. Giving index is comprised mainly out of desk research. All data gathered, whether this is from charitable foundations making the top 20 or not, is saved in a comprehensive Excel Document. At a bare minimum, we record the name of the foundation, the target year, the amount given, the currency in which this amount is reported, their country of residence, the year the organization was founded and the web links from which the respective information was retrieved.</w:t>
      </w:r>
    </w:p>
    <w:p w:rsidR="004A676A" w:rsidRPr="000D7ADE" w:rsidRDefault="004A676A" w:rsidP="004551D0">
      <w:pPr>
        <w:spacing w:line="276" w:lineRule="auto"/>
        <w:jc w:val="both"/>
        <w:rPr>
          <w:rFonts w:ascii="Corbel" w:hAnsi="Corbel"/>
          <w:sz w:val="22"/>
          <w:szCs w:val="22"/>
        </w:rPr>
      </w:pPr>
      <w:r w:rsidRPr="000D7ADE">
        <w:rPr>
          <w:rFonts w:ascii="Corbel" w:hAnsi="Corbel"/>
          <w:sz w:val="22"/>
          <w:szCs w:val="22"/>
        </w:rPr>
        <w:lastRenderedPageBreak/>
        <w:t xml:space="preserve">For comprising the current and future giving indexes, we constructed a structural approach to finding and indexing eligible foundations in the Excel spreadsheet with candidates. </w:t>
      </w:r>
      <w:r w:rsidR="00E20F70" w:rsidRPr="000D7ADE">
        <w:rPr>
          <w:rFonts w:ascii="Corbel" w:hAnsi="Corbel"/>
          <w:sz w:val="22"/>
          <w:szCs w:val="22"/>
        </w:rPr>
        <w:tab/>
      </w:r>
      <w:r w:rsidRPr="000D7ADE">
        <w:rPr>
          <w:rFonts w:ascii="Corbel" w:hAnsi="Corbel"/>
          <w:sz w:val="22"/>
          <w:szCs w:val="22"/>
        </w:rPr>
        <w:t xml:space="preserve"> </w:t>
      </w:r>
      <w:r w:rsidR="00E20F70" w:rsidRPr="000D7ADE">
        <w:rPr>
          <w:rFonts w:ascii="Corbel" w:hAnsi="Corbel"/>
          <w:sz w:val="22"/>
          <w:szCs w:val="22"/>
        </w:rPr>
        <w:br/>
      </w:r>
    </w:p>
    <w:p w:rsidR="004A676A" w:rsidRPr="000D7ADE" w:rsidRDefault="004A676A" w:rsidP="004551D0">
      <w:pPr>
        <w:numPr>
          <w:ilvl w:val="0"/>
          <w:numId w:val="1"/>
        </w:numPr>
        <w:spacing w:line="276" w:lineRule="auto"/>
        <w:jc w:val="both"/>
        <w:rPr>
          <w:rFonts w:ascii="Corbel" w:hAnsi="Corbel"/>
          <w:i/>
          <w:sz w:val="22"/>
          <w:szCs w:val="22"/>
        </w:rPr>
      </w:pPr>
      <w:r w:rsidRPr="000D7ADE">
        <w:rPr>
          <w:rFonts w:ascii="Corbel" w:hAnsi="Corbel"/>
          <w:i/>
          <w:sz w:val="22"/>
          <w:szCs w:val="22"/>
        </w:rPr>
        <w:t>Previous City A.M. Giving Index</w:t>
      </w:r>
    </w:p>
    <w:p w:rsidR="004A676A" w:rsidRPr="000D7ADE" w:rsidRDefault="004A676A" w:rsidP="004551D0">
      <w:pPr>
        <w:spacing w:line="276" w:lineRule="auto"/>
        <w:jc w:val="both"/>
        <w:rPr>
          <w:rFonts w:ascii="Corbel" w:hAnsi="Corbel"/>
          <w:sz w:val="22"/>
          <w:szCs w:val="22"/>
        </w:rPr>
      </w:pPr>
      <w:r w:rsidRPr="000D7ADE">
        <w:rPr>
          <w:rFonts w:ascii="Corbel" w:hAnsi="Corbel"/>
          <w:sz w:val="22"/>
          <w:szCs w:val="22"/>
        </w:rPr>
        <w:t xml:space="preserve">The first step in finding eligible foundations is to re-investigate official annual (tax) reports from the previous City A.M. giving index. The number of foundations investigated in the Excel spreadsheet far exceeds 20, since previous searches have rendered many foundations that make large philanthropic contributions but don’t make it to the list. It is worthwhile to re-investigate these, increasingly so as they approach #20 on the ranking. </w:t>
      </w:r>
      <w:r w:rsidR="00E20F70" w:rsidRPr="000D7ADE">
        <w:rPr>
          <w:rFonts w:ascii="Corbel" w:hAnsi="Corbel"/>
          <w:sz w:val="22"/>
          <w:szCs w:val="22"/>
        </w:rPr>
        <w:tab/>
      </w:r>
      <w:r w:rsidR="00E20F70" w:rsidRPr="000D7ADE">
        <w:rPr>
          <w:rFonts w:ascii="Corbel" w:hAnsi="Corbel"/>
          <w:sz w:val="22"/>
          <w:szCs w:val="22"/>
        </w:rPr>
        <w:br/>
      </w:r>
    </w:p>
    <w:p w:rsidR="004A676A" w:rsidRPr="000D7ADE" w:rsidRDefault="004A676A" w:rsidP="00C54757">
      <w:pPr>
        <w:numPr>
          <w:ilvl w:val="0"/>
          <w:numId w:val="1"/>
        </w:numPr>
        <w:spacing w:line="276" w:lineRule="auto"/>
        <w:jc w:val="both"/>
        <w:rPr>
          <w:rFonts w:ascii="Corbel" w:hAnsi="Corbel"/>
          <w:i/>
          <w:sz w:val="22"/>
          <w:szCs w:val="22"/>
        </w:rPr>
      </w:pPr>
      <w:r w:rsidRPr="000D7ADE">
        <w:rPr>
          <w:rFonts w:ascii="Corbel" w:hAnsi="Corbel"/>
          <w:i/>
          <w:sz w:val="22"/>
          <w:szCs w:val="22"/>
        </w:rPr>
        <w:t>Other lists</w:t>
      </w:r>
    </w:p>
    <w:p w:rsidR="004A676A" w:rsidRPr="000D7ADE" w:rsidRDefault="004A676A" w:rsidP="004551D0">
      <w:pPr>
        <w:spacing w:line="276" w:lineRule="auto"/>
        <w:jc w:val="both"/>
        <w:rPr>
          <w:rFonts w:ascii="Corbel" w:hAnsi="Corbel"/>
          <w:sz w:val="22"/>
          <w:szCs w:val="22"/>
        </w:rPr>
      </w:pPr>
      <w:r w:rsidRPr="000D7ADE">
        <w:rPr>
          <w:rFonts w:ascii="Corbel" w:hAnsi="Corbel"/>
          <w:sz w:val="22"/>
          <w:szCs w:val="22"/>
        </w:rPr>
        <w:t xml:space="preserve">A second step is to utilize search engines such as Google and Bing to find lists of charitable foundations that may include foundations that we missed in previous indexes. As a rule, we do not copy figures reported from these found sources, but only use </w:t>
      </w:r>
      <w:r w:rsidR="001E01AB" w:rsidRPr="000D7ADE">
        <w:rPr>
          <w:rFonts w:ascii="Corbel" w:hAnsi="Corbel"/>
          <w:sz w:val="22"/>
          <w:szCs w:val="22"/>
        </w:rPr>
        <w:t xml:space="preserve">these </w:t>
      </w:r>
      <w:r w:rsidRPr="000D7ADE">
        <w:rPr>
          <w:rFonts w:ascii="Corbel" w:hAnsi="Corbel"/>
          <w:sz w:val="22"/>
          <w:szCs w:val="22"/>
        </w:rPr>
        <w:t xml:space="preserve">lists to find eligible foundations we missed before, even when information comes from reliable external sources such as </w:t>
      </w:r>
      <w:r w:rsidR="004551D0" w:rsidRPr="000D7ADE">
        <w:rPr>
          <w:rFonts w:ascii="Corbel" w:hAnsi="Corbel"/>
          <w:sz w:val="22"/>
          <w:szCs w:val="22"/>
        </w:rPr>
        <w:t xml:space="preserve">the American Foundation Center, and the European Foundation Center. We also took advantage of our ‘Giving in the Netherlands’ research to foundations in the Netherlands. </w:t>
      </w:r>
      <w:r w:rsidR="00E20F70" w:rsidRPr="000D7ADE">
        <w:rPr>
          <w:rFonts w:ascii="Corbel" w:hAnsi="Corbel"/>
          <w:sz w:val="22"/>
          <w:szCs w:val="22"/>
        </w:rPr>
        <w:tab/>
      </w:r>
      <w:r w:rsidR="00E20F70" w:rsidRPr="000D7ADE">
        <w:rPr>
          <w:rFonts w:ascii="Corbel" w:hAnsi="Corbel"/>
          <w:sz w:val="22"/>
          <w:szCs w:val="22"/>
        </w:rPr>
        <w:br/>
      </w:r>
    </w:p>
    <w:p w:rsidR="004A676A" w:rsidRPr="000D7ADE" w:rsidRDefault="004A676A" w:rsidP="00C54757">
      <w:pPr>
        <w:numPr>
          <w:ilvl w:val="0"/>
          <w:numId w:val="1"/>
        </w:numPr>
        <w:spacing w:line="276" w:lineRule="auto"/>
        <w:jc w:val="both"/>
        <w:rPr>
          <w:rFonts w:ascii="Corbel" w:hAnsi="Corbel"/>
          <w:sz w:val="22"/>
          <w:szCs w:val="22"/>
        </w:rPr>
      </w:pPr>
      <w:r w:rsidRPr="000D7ADE">
        <w:rPr>
          <w:rFonts w:ascii="Corbel" w:hAnsi="Corbel"/>
          <w:i/>
          <w:sz w:val="22"/>
          <w:szCs w:val="22"/>
        </w:rPr>
        <w:t>Local Experts</w:t>
      </w:r>
    </w:p>
    <w:p w:rsidR="00EF1985" w:rsidRPr="000D7ADE" w:rsidRDefault="004A676A" w:rsidP="004551D0">
      <w:pPr>
        <w:spacing w:line="276" w:lineRule="auto"/>
        <w:jc w:val="both"/>
        <w:rPr>
          <w:rFonts w:ascii="Corbel" w:hAnsi="Corbel"/>
          <w:sz w:val="22"/>
          <w:szCs w:val="22"/>
        </w:rPr>
      </w:pPr>
      <w:r w:rsidRPr="000D7ADE">
        <w:rPr>
          <w:rFonts w:ascii="Corbel" w:hAnsi="Corbel"/>
          <w:sz w:val="22"/>
          <w:szCs w:val="22"/>
        </w:rPr>
        <w:t xml:space="preserve">Past experience has taught us that European, American and Oceanic foundations are easily found using search strings on Google and Yahoo, bringing forward a multitude of fruitful lists with eligible foundations from these regions. This stands in sheer contrasts with the difficulties encountered when finding large foundations in Asia (including the middle-east), where language poses a barrier that has been proven to be difficult to tackle. In </w:t>
      </w:r>
      <w:r w:rsidR="00814919">
        <w:rPr>
          <w:rFonts w:ascii="Corbel" w:hAnsi="Corbel"/>
          <w:sz w:val="22"/>
          <w:szCs w:val="22"/>
        </w:rPr>
        <w:t xml:space="preserve">previous </w:t>
      </w:r>
      <w:r w:rsidRPr="000D7ADE">
        <w:rPr>
          <w:rFonts w:ascii="Corbel" w:hAnsi="Corbel"/>
          <w:sz w:val="22"/>
          <w:szCs w:val="22"/>
        </w:rPr>
        <w:t>City A.M. Giving index</w:t>
      </w:r>
      <w:r w:rsidR="00814919">
        <w:rPr>
          <w:rFonts w:ascii="Corbel" w:hAnsi="Corbel"/>
          <w:sz w:val="22"/>
          <w:szCs w:val="22"/>
        </w:rPr>
        <w:t>es</w:t>
      </w:r>
      <w:r w:rsidRPr="000D7ADE">
        <w:rPr>
          <w:rFonts w:ascii="Corbel" w:hAnsi="Corbel"/>
          <w:sz w:val="22"/>
          <w:szCs w:val="22"/>
        </w:rPr>
        <w:t xml:space="preserve">, we </w:t>
      </w:r>
      <w:r w:rsidR="001E01AB" w:rsidRPr="000D7ADE">
        <w:rPr>
          <w:rFonts w:ascii="Corbel" w:hAnsi="Corbel"/>
          <w:sz w:val="22"/>
          <w:szCs w:val="22"/>
        </w:rPr>
        <w:t xml:space="preserve">have </w:t>
      </w:r>
      <w:r w:rsidRPr="000D7ADE">
        <w:rPr>
          <w:rFonts w:ascii="Corbel" w:hAnsi="Corbel"/>
          <w:sz w:val="22"/>
          <w:szCs w:val="22"/>
        </w:rPr>
        <w:t>attempt</w:t>
      </w:r>
      <w:r w:rsidR="001E01AB" w:rsidRPr="000D7ADE">
        <w:rPr>
          <w:rFonts w:ascii="Corbel" w:hAnsi="Corbel"/>
          <w:sz w:val="22"/>
          <w:szCs w:val="22"/>
        </w:rPr>
        <w:t>ed</w:t>
      </w:r>
      <w:r w:rsidRPr="000D7ADE">
        <w:rPr>
          <w:rFonts w:ascii="Corbel" w:hAnsi="Corbel"/>
          <w:sz w:val="22"/>
          <w:szCs w:val="22"/>
        </w:rPr>
        <w:t xml:space="preserve"> to tackle this problem by mobilizing local expert</w:t>
      </w:r>
      <w:r w:rsidR="0022054D" w:rsidRPr="000D7ADE">
        <w:rPr>
          <w:rFonts w:ascii="Corbel" w:hAnsi="Corbel"/>
          <w:sz w:val="22"/>
          <w:szCs w:val="22"/>
        </w:rPr>
        <w:t>s in South America, the Middle-E</w:t>
      </w:r>
      <w:r w:rsidRPr="000D7ADE">
        <w:rPr>
          <w:rFonts w:ascii="Corbel" w:hAnsi="Corbel"/>
          <w:sz w:val="22"/>
          <w:szCs w:val="22"/>
        </w:rPr>
        <w:t xml:space="preserve">ast and Southeast Asia (Japan, Korea, China and Singapore in particular) to provide us with eligible foundations or reliable sources of information on local foundations. </w:t>
      </w:r>
      <w:r w:rsidR="001E01AB" w:rsidRPr="000D7ADE">
        <w:rPr>
          <w:rFonts w:ascii="Corbel" w:hAnsi="Corbel"/>
          <w:sz w:val="22"/>
          <w:szCs w:val="22"/>
        </w:rPr>
        <w:t>L</w:t>
      </w:r>
      <w:r w:rsidRPr="000D7ADE">
        <w:rPr>
          <w:rFonts w:ascii="Corbel" w:hAnsi="Corbel"/>
          <w:sz w:val="22"/>
          <w:szCs w:val="22"/>
        </w:rPr>
        <w:t xml:space="preserve">ocal experts from different Asian countries were contacted for help. </w:t>
      </w:r>
      <w:r w:rsidR="001E01AB" w:rsidRPr="000D7ADE">
        <w:rPr>
          <w:rFonts w:ascii="Corbel" w:hAnsi="Corbel"/>
          <w:sz w:val="22"/>
          <w:szCs w:val="22"/>
        </w:rPr>
        <w:t>However, c</w:t>
      </w:r>
      <w:r w:rsidRPr="000D7ADE">
        <w:rPr>
          <w:rFonts w:ascii="Corbel" w:hAnsi="Corbel"/>
          <w:sz w:val="22"/>
          <w:szCs w:val="22"/>
        </w:rPr>
        <w:t>omprising a list for Asian foundations is much harder because of the lack of mandatory public reporting legislation. This posed a real issue: With help of the local experts and the Chinese and Japanese Foundation centers, we were able to identify a decent number of large grant</w:t>
      </w:r>
      <w:r w:rsidR="0035162E" w:rsidRPr="000D7ADE">
        <w:rPr>
          <w:rFonts w:ascii="Corbel" w:hAnsi="Corbel"/>
          <w:sz w:val="22"/>
          <w:szCs w:val="22"/>
        </w:rPr>
        <w:t xml:space="preserve"> </w:t>
      </w:r>
      <w:r w:rsidRPr="000D7ADE">
        <w:rPr>
          <w:rFonts w:ascii="Corbel" w:hAnsi="Corbel"/>
          <w:sz w:val="22"/>
          <w:szCs w:val="22"/>
        </w:rPr>
        <w:t xml:space="preserve">making foundations. However, these foundations often lack an annual report in English, even if there were to be one made publically accessible at all. </w:t>
      </w:r>
    </w:p>
    <w:p w:rsidR="001E01AB" w:rsidRPr="000D7ADE" w:rsidRDefault="001E01AB" w:rsidP="004551D0">
      <w:pPr>
        <w:spacing w:line="276" w:lineRule="auto"/>
        <w:jc w:val="both"/>
        <w:rPr>
          <w:rFonts w:ascii="Corbel" w:hAnsi="Corbel"/>
          <w:sz w:val="22"/>
          <w:szCs w:val="22"/>
        </w:rPr>
      </w:pPr>
    </w:p>
    <w:p w:rsidR="004A676A" w:rsidRPr="000D7ADE" w:rsidRDefault="004A676A" w:rsidP="00C54757">
      <w:pPr>
        <w:numPr>
          <w:ilvl w:val="0"/>
          <w:numId w:val="1"/>
        </w:numPr>
        <w:spacing w:line="276" w:lineRule="auto"/>
        <w:jc w:val="both"/>
        <w:rPr>
          <w:rFonts w:ascii="Corbel" w:hAnsi="Corbel"/>
          <w:sz w:val="22"/>
          <w:szCs w:val="22"/>
        </w:rPr>
      </w:pPr>
      <w:r w:rsidRPr="000D7ADE">
        <w:rPr>
          <w:rFonts w:ascii="Corbel" w:hAnsi="Corbel"/>
          <w:i/>
          <w:sz w:val="22"/>
          <w:szCs w:val="22"/>
        </w:rPr>
        <w:t>Contact top foundations not providing lifetime giving figures</w:t>
      </w:r>
    </w:p>
    <w:p w:rsidR="004A676A" w:rsidRPr="000D7ADE" w:rsidRDefault="004A676A" w:rsidP="004551D0">
      <w:pPr>
        <w:spacing w:line="276" w:lineRule="auto"/>
        <w:jc w:val="both"/>
        <w:rPr>
          <w:rFonts w:ascii="Corbel" w:hAnsi="Corbel"/>
          <w:sz w:val="22"/>
          <w:szCs w:val="22"/>
        </w:rPr>
      </w:pPr>
      <w:r w:rsidRPr="000D7ADE">
        <w:rPr>
          <w:rFonts w:ascii="Corbel" w:hAnsi="Corbel"/>
          <w:sz w:val="22"/>
          <w:szCs w:val="22"/>
        </w:rPr>
        <w:t xml:space="preserve">Lifetime grant expenditure data appears to be something not all foundations find necessary to track or report. Without doubt, there are foundations that are currently making the World’s top 20 or European top 20 and should be in the top 20 lifetime donors as well. For future years, it would be informative to quickly identify which foundations do not report these financials and contact them in order to retrieve the necessary information and make the lifetime top 20 list more complete and correct. The same goes for foundations failing to provide up to date tax- or annual reports. Many of these foundations have been e-mailed but failed to provide an (timely) adequate response. If these foundations can be identified and notified timely in advance, they might be able to provide the required information and help make the world charity index even more complete. </w:t>
      </w:r>
      <w:r w:rsidR="00E20F70" w:rsidRPr="000D7ADE">
        <w:rPr>
          <w:rFonts w:ascii="Corbel" w:hAnsi="Corbel"/>
          <w:sz w:val="22"/>
          <w:szCs w:val="22"/>
        </w:rPr>
        <w:tab/>
      </w:r>
      <w:r w:rsidR="00E20F70" w:rsidRPr="000D7ADE">
        <w:rPr>
          <w:rFonts w:ascii="Corbel" w:hAnsi="Corbel"/>
          <w:sz w:val="22"/>
          <w:szCs w:val="22"/>
        </w:rPr>
        <w:br/>
      </w:r>
    </w:p>
    <w:p w:rsidR="004A676A" w:rsidRPr="000D7ADE" w:rsidRDefault="004A676A" w:rsidP="00C54757">
      <w:pPr>
        <w:pStyle w:val="ListParagraph"/>
        <w:numPr>
          <w:ilvl w:val="0"/>
          <w:numId w:val="1"/>
        </w:numPr>
        <w:spacing w:line="276" w:lineRule="auto"/>
        <w:jc w:val="both"/>
        <w:rPr>
          <w:rFonts w:ascii="Corbel" w:hAnsi="Corbel"/>
          <w:i/>
          <w:sz w:val="22"/>
          <w:szCs w:val="22"/>
        </w:rPr>
      </w:pPr>
      <w:r w:rsidRPr="000D7ADE">
        <w:rPr>
          <w:rFonts w:ascii="Corbel" w:hAnsi="Corbel"/>
          <w:i/>
          <w:sz w:val="22"/>
          <w:szCs w:val="22"/>
        </w:rPr>
        <w:lastRenderedPageBreak/>
        <w:t xml:space="preserve">Study on Philanthropy and Official Development Assistance. Research commissioned by </w:t>
      </w:r>
      <w:proofErr w:type="spellStart"/>
      <w:r w:rsidRPr="000D7ADE">
        <w:rPr>
          <w:rFonts w:ascii="Corbel" w:hAnsi="Corbel"/>
          <w:i/>
          <w:sz w:val="22"/>
          <w:szCs w:val="22"/>
        </w:rPr>
        <w:t>L’Agence</w:t>
      </w:r>
      <w:proofErr w:type="spellEnd"/>
      <w:r w:rsidRPr="000D7ADE">
        <w:rPr>
          <w:rFonts w:ascii="Corbel" w:hAnsi="Corbel"/>
          <w:i/>
          <w:sz w:val="22"/>
          <w:szCs w:val="22"/>
        </w:rPr>
        <w:t xml:space="preserve"> </w:t>
      </w:r>
      <w:proofErr w:type="spellStart"/>
      <w:r w:rsidRPr="000D7ADE">
        <w:rPr>
          <w:rFonts w:ascii="Corbel" w:hAnsi="Corbel"/>
          <w:i/>
          <w:sz w:val="22"/>
          <w:szCs w:val="22"/>
        </w:rPr>
        <w:t>Francaise</w:t>
      </w:r>
      <w:proofErr w:type="spellEnd"/>
      <w:r w:rsidRPr="000D7ADE">
        <w:rPr>
          <w:rFonts w:ascii="Corbel" w:hAnsi="Corbel"/>
          <w:i/>
          <w:sz w:val="22"/>
          <w:szCs w:val="22"/>
        </w:rPr>
        <w:t xml:space="preserve"> de </w:t>
      </w:r>
      <w:proofErr w:type="spellStart"/>
      <w:r w:rsidRPr="000D7ADE">
        <w:rPr>
          <w:rFonts w:ascii="Corbel" w:hAnsi="Corbel"/>
          <w:i/>
          <w:sz w:val="22"/>
          <w:szCs w:val="22"/>
        </w:rPr>
        <w:t>Developpement</w:t>
      </w:r>
      <w:proofErr w:type="spellEnd"/>
      <w:r w:rsidRPr="000D7ADE">
        <w:rPr>
          <w:rFonts w:ascii="Corbel" w:hAnsi="Corbel"/>
          <w:i/>
          <w:sz w:val="22"/>
          <w:szCs w:val="22"/>
        </w:rPr>
        <w:t>.</w:t>
      </w:r>
    </w:p>
    <w:p w:rsidR="004A676A" w:rsidRPr="000D7ADE" w:rsidRDefault="004A676A" w:rsidP="004551D0">
      <w:pPr>
        <w:spacing w:line="276" w:lineRule="auto"/>
        <w:jc w:val="both"/>
        <w:rPr>
          <w:rFonts w:ascii="Corbel" w:hAnsi="Corbel"/>
          <w:sz w:val="22"/>
          <w:szCs w:val="22"/>
        </w:rPr>
      </w:pPr>
      <w:r w:rsidRPr="000D7ADE">
        <w:rPr>
          <w:rFonts w:ascii="Corbel" w:hAnsi="Corbel"/>
          <w:sz w:val="22"/>
          <w:szCs w:val="22"/>
        </w:rPr>
        <w:t xml:space="preserve">The ‘Study on Philanthropy and Official Development Assistance’ covers the planned data analysis of the 50 largest Foundations supporting Development Aid worldwide as commissioned by AFD and conducted by the Center for Philanthropic Studies (CPS) at VU Amsterdam. From this point forward, for each foundation their website, financial statements, annual reports and funded projects over the last 3 years have been be analyzed. Relevant information is used to compare data of the Charity Index. </w:t>
      </w:r>
      <w:r w:rsidR="00E20F70" w:rsidRPr="000D7ADE">
        <w:rPr>
          <w:rFonts w:ascii="Corbel" w:hAnsi="Corbel"/>
          <w:sz w:val="22"/>
          <w:szCs w:val="22"/>
        </w:rPr>
        <w:br/>
      </w:r>
    </w:p>
    <w:p w:rsidR="004A676A" w:rsidRPr="000D7ADE" w:rsidRDefault="004A676A" w:rsidP="00C54757">
      <w:pPr>
        <w:pStyle w:val="ListParagraph"/>
        <w:numPr>
          <w:ilvl w:val="1"/>
          <w:numId w:val="14"/>
        </w:numPr>
        <w:spacing w:line="276" w:lineRule="auto"/>
        <w:jc w:val="both"/>
        <w:rPr>
          <w:rFonts w:ascii="Corbel" w:hAnsi="Corbel"/>
          <w:i/>
          <w:sz w:val="22"/>
          <w:szCs w:val="22"/>
        </w:rPr>
      </w:pPr>
      <w:r w:rsidRPr="000D7ADE">
        <w:rPr>
          <w:rFonts w:ascii="Corbel" w:hAnsi="Corbel"/>
          <w:i/>
          <w:sz w:val="22"/>
          <w:szCs w:val="22"/>
        </w:rPr>
        <w:t>EUFORI</w:t>
      </w:r>
      <w:r w:rsidR="00C00E3C">
        <w:rPr>
          <w:rFonts w:ascii="Corbel" w:hAnsi="Corbel"/>
          <w:i/>
          <w:sz w:val="22"/>
          <w:szCs w:val="22"/>
        </w:rPr>
        <w:t xml:space="preserve"> </w:t>
      </w:r>
      <w:r w:rsidRPr="000D7ADE">
        <w:rPr>
          <w:rFonts w:ascii="Corbel" w:hAnsi="Corbel"/>
          <w:i/>
          <w:sz w:val="22"/>
          <w:szCs w:val="22"/>
        </w:rPr>
        <w:t>S</w:t>
      </w:r>
      <w:r w:rsidR="00C00E3C">
        <w:rPr>
          <w:rFonts w:ascii="Corbel" w:hAnsi="Corbel"/>
          <w:i/>
          <w:sz w:val="22"/>
          <w:szCs w:val="22"/>
        </w:rPr>
        <w:t>tudy</w:t>
      </w:r>
      <w:r w:rsidRPr="000D7ADE">
        <w:rPr>
          <w:rFonts w:ascii="Corbel" w:hAnsi="Corbel"/>
          <w:i/>
          <w:sz w:val="22"/>
          <w:szCs w:val="22"/>
        </w:rPr>
        <w:t xml:space="preserve"> </w:t>
      </w:r>
    </w:p>
    <w:p w:rsidR="004A676A" w:rsidRPr="000D7ADE" w:rsidRDefault="00C54757" w:rsidP="004551D0">
      <w:pPr>
        <w:spacing w:line="276" w:lineRule="auto"/>
        <w:jc w:val="both"/>
        <w:rPr>
          <w:rFonts w:ascii="Corbel" w:hAnsi="Corbel"/>
          <w:sz w:val="22"/>
          <w:szCs w:val="22"/>
          <w:lang w:val="en-GB"/>
        </w:rPr>
      </w:pPr>
      <w:r>
        <w:rPr>
          <w:rFonts w:ascii="Corbel" w:hAnsi="Corbel"/>
          <w:sz w:val="22"/>
          <w:szCs w:val="22"/>
          <w:lang w:val="en-GB"/>
        </w:rPr>
        <w:t xml:space="preserve">In July </w:t>
      </w:r>
      <w:r w:rsidR="004A676A" w:rsidRPr="000D7ADE">
        <w:rPr>
          <w:rFonts w:ascii="Corbel" w:hAnsi="Corbel"/>
          <w:sz w:val="22"/>
          <w:szCs w:val="22"/>
          <w:lang w:val="en-GB"/>
        </w:rPr>
        <w:t xml:space="preserve">2012, the </w:t>
      </w:r>
      <w:proofErr w:type="spellStart"/>
      <w:r w:rsidR="004A676A" w:rsidRPr="000D7ADE">
        <w:rPr>
          <w:rStyle w:val="list0020paragraphchar1"/>
          <w:rFonts w:ascii="Corbel" w:eastAsia="Calibri" w:hAnsi="Corbel" w:cs="Times New Roman"/>
          <w:lang w:val="en-GB"/>
        </w:rPr>
        <w:t>Center</w:t>
      </w:r>
      <w:proofErr w:type="spellEnd"/>
      <w:r w:rsidR="004A676A" w:rsidRPr="000D7ADE">
        <w:rPr>
          <w:rStyle w:val="list0020paragraphchar1"/>
          <w:rFonts w:ascii="Corbel" w:eastAsia="Calibri" w:hAnsi="Corbel" w:cs="Times New Roman"/>
          <w:lang w:val="en-GB"/>
        </w:rPr>
        <w:t xml:space="preserve"> </w:t>
      </w:r>
      <w:r>
        <w:rPr>
          <w:rStyle w:val="list0020paragraphchar1"/>
          <w:rFonts w:ascii="Corbel" w:eastAsia="Calibri" w:hAnsi="Corbel" w:cs="Times New Roman"/>
          <w:lang w:val="en-GB"/>
        </w:rPr>
        <w:t>for</w:t>
      </w:r>
      <w:r w:rsidR="004A676A" w:rsidRPr="000D7ADE">
        <w:rPr>
          <w:rStyle w:val="list0020paragraphchar1"/>
          <w:rFonts w:ascii="Corbel" w:eastAsia="Calibri" w:hAnsi="Corbel" w:cs="Times New Roman"/>
          <w:lang w:val="en-GB"/>
        </w:rPr>
        <w:t xml:space="preserve"> Philanthropic Studies at VU University Amsterdam (</w:t>
      </w:r>
      <w:hyperlink r:id="rId8" w:history="1">
        <w:r w:rsidR="004A676A" w:rsidRPr="000D7ADE">
          <w:rPr>
            <w:rStyle w:val="Hyperlink"/>
            <w:rFonts w:ascii="Corbel" w:hAnsi="Corbel"/>
            <w:sz w:val="22"/>
            <w:szCs w:val="22"/>
            <w:lang w:val="en-GB"/>
          </w:rPr>
          <w:t>www.giving.nl</w:t>
        </w:r>
      </w:hyperlink>
      <w:r w:rsidR="004A676A" w:rsidRPr="000D7ADE">
        <w:rPr>
          <w:rStyle w:val="list0020paragraphchar1"/>
          <w:rFonts w:ascii="Corbel" w:eastAsia="Calibri" w:hAnsi="Corbel" w:cs="Times New Roman"/>
          <w:lang w:val="en-GB"/>
        </w:rPr>
        <w:t xml:space="preserve">) </w:t>
      </w:r>
      <w:r w:rsidR="004A676A" w:rsidRPr="000D7ADE">
        <w:rPr>
          <w:rFonts w:ascii="Corbel" w:hAnsi="Corbel"/>
          <w:sz w:val="22"/>
          <w:szCs w:val="22"/>
          <w:lang w:val="en-GB"/>
        </w:rPr>
        <w:t xml:space="preserve">was commissioned by the European Commission, DG Research and Innovation, to coordinate a </w:t>
      </w:r>
      <w:r>
        <w:rPr>
          <w:rFonts w:ascii="Corbel" w:hAnsi="Corbel"/>
          <w:sz w:val="22"/>
          <w:szCs w:val="22"/>
          <w:lang w:val="en-GB"/>
        </w:rPr>
        <w:t>EU-</w:t>
      </w:r>
      <w:r w:rsidR="004A676A" w:rsidRPr="000D7ADE">
        <w:rPr>
          <w:rFonts w:ascii="Corbel" w:hAnsi="Corbel"/>
          <w:sz w:val="22"/>
          <w:szCs w:val="22"/>
          <w:lang w:val="en-GB"/>
        </w:rPr>
        <w:t xml:space="preserve">Tender study on the contributions of foundations to research and innovation in the EU 27 (plus Norway and Switzerland). </w:t>
      </w:r>
      <w:r w:rsidR="004A676A" w:rsidRPr="000D7ADE">
        <w:rPr>
          <w:rFonts w:ascii="Corbel" w:hAnsi="Corbel"/>
          <w:sz w:val="22"/>
          <w:szCs w:val="22"/>
        </w:rPr>
        <w:t xml:space="preserve">The European Foundations for Research and Innovation (EUFORI) Study is the first study to quantify and assess foundations’ financial support and policies for research and innovation in Europe. The research was conducted between 2012 and 2015, and more than 12 000 foundations have been approached for the EUFORI Study. In total 1591 foundations participated in the EUFORI study. Relevant information is used to compare data of the Charity Index. </w:t>
      </w:r>
    </w:p>
    <w:p w:rsidR="004A676A" w:rsidRPr="000D7ADE" w:rsidRDefault="004A676A" w:rsidP="004551D0">
      <w:pPr>
        <w:spacing w:line="276" w:lineRule="auto"/>
        <w:jc w:val="both"/>
        <w:rPr>
          <w:rFonts w:ascii="Corbel" w:hAnsi="Corbel"/>
          <w:sz w:val="22"/>
          <w:szCs w:val="22"/>
        </w:rPr>
      </w:pPr>
    </w:p>
    <w:p w:rsidR="004A676A" w:rsidRPr="000D7ADE" w:rsidRDefault="002F68C9" w:rsidP="004551D0">
      <w:pPr>
        <w:pStyle w:val="ListParagraph"/>
        <w:numPr>
          <w:ilvl w:val="0"/>
          <w:numId w:val="2"/>
        </w:numPr>
        <w:spacing w:line="276" w:lineRule="auto"/>
        <w:jc w:val="both"/>
        <w:rPr>
          <w:rFonts w:ascii="Corbel" w:hAnsi="Corbel"/>
          <w:b/>
          <w:i/>
          <w:sz w:val="22"/>
          <w:szCs w:val="22"/>
        </w:rPr>
      </w:pPr>
      <w:r w:rsidRPr="000D7ADE">
        <w:rPr>
          <w:rFonts w:ascii="Corbel" w:hAnsi="Corbel"/>
          <w:b/>
          <w:i/>
          <w:sz w:val="22"/>
          <w:szCs w:val="22"/>
          <w:lang w:val="en-GB"/>
        </w:rPr>
        <w:t>Financial statements</w:t>
      </w:r>
    </w:p>
    <w:p w:rsidR="00F40E1F" w:rsidRPr="000D7ADE" w:rsidRDefault="007C6155" w:rsidP="004551D0">
      <w:pPr>
        <w:spacing w:line="276" w:lineRule="auto"/>
        <w:jc w:val="both"/>
        <w:rPr>
          <w:rFonts w:ascii="Corbel" w:hAnsi="Corbel"/>
          <w:sz w:val="22"/>
          <w:szCs w:val="22"/>
        </w:rPr>
      </w:pPr>
      <w:r w:rsidRPr="000D7ADE">
        <w:rPr>
          <w:rFonts w:ascii="Corbel" w:hAnsi="Corbel"/>
          <w:sz w:val="22"/>
          <w:szCs w:val="22"/>
        </w:rPr>
        <w:br/>
      </w:r>
      <w:r w:rsidR="00537BFE" w:rsidRPr="000D7ADE">
        <w:rPr>
          <w:rFonts w:ascii="Corbel" w:hAnsi="Corbel"/>
          <w:sz w:val="22"/>
          <w:szCs w:val="22"/>
        </w:rPr>
        <w:t xml:space="preserve">In order to qualify for the City A.M. giving index, financial information on grant making </w:t>
      </w:r>
      <w:r w:rsidR="00275977" w:rsidRPr="000D7ADE">
        <w:rPr>
          <w:rFonts w:ascii="Corbel" w:hAnsi="Corbel"/>
          <w:sz w:val="22"/>
          <w:szCs w:val="22"/>
        </w:rPr>
        <w:t xml:space="preserve">of  foundations (or other private institutional donors) </w:t>
      </w:r>
      <w:r w:rsidR="00537BFE" w:rsidRPr="000D7ADE">
        <w:rPr>
          <w:rFonts w:ascii="Corbel" w:hAnsi="Corbel"/>
          <w:sz w:val="22"/>
          <w:szCs w:val="22"/>
        </w:rPr>
        <w:t xml:space="preserve">has to be reported in </w:t>
      </w:r>
      <w:r w:rsidR="00C7719C" w:rsidRPr="000D7ADE">
        <w:rPr>
          <w:rFonts w:ascii="Corbel" w:hAnsi="Corbel"/>
          <w:sz w:val="22"/>
          <w:szCs w:val="22"/>
        </w:rPr>
        <w:t xml:space="preserve">the financial statements of </w:t>
      </w:r>
      <w:r w:rsidR="00537BFE" w:rsidRPr="000D7ADE">
        <w:rPr>
          <w:rFonts w:ascii="Corbel" w:hAnsi="Corbel"/>
          <w:sz w:val="22"/>
          <w:szCs w:val="22"/>
        </w:rPr>
        <w:t>an official annual report</w:t>
      </w:r>
      <w:r w:rsidR="00F40E1F" w:rsidRPr="000D7ADE">
        <w:rPr>
          <w:rFonts w:ascii="Corbel" w:hAnsi="Corbel"/>
          <w:sz w:val="22"/>
          <w:szCs w:val="22"/>
        </w:rPr>
        <w:t xml:space="preserve"> (in English)</w:t>
      </w:r>
      <w:r w:rsidR="00537BFE" w:rsidRPr="000D7ADE">
        <w:rPr>
          <w:rFonts w:ascii="Corbel" w:hAnsi="Corbel"/>
          <w:sz w:val="22"/>
          <w:szCs w:val="22"/>
        </w:rPr>
        <w:t xml:space="preserve">. </w:t>
      </w:r>
      <w:r w:rsidR="009B388F" w:rsidRPr="009B388F">
        <w:rPr>
          <w:rFonts w:ascii="Corbel" w:hAnsi="Corbel"/>
          <w:sz w:val="22"/>
          <w:szCs w:val="22"/>
        </w:rPr>
        <w:t>Failing to provide official financials in either an annual- or tax report will exclude foundations from the world charity index lists.</w:t>
      </w:r>
    </w:p>
    <w:p w:rsidR="00F40E1F" w:rsidRPr="000D7ADE" w:rsidRDefault="00F40E1F" w:rsidP="004551D0">
      <w:pPr>
        <w:spacing w:line="276" w:lineRule="auto"/>
        <w:jc w:val="both"/>
        <w:rPr>
          <w:rFonts w:ascii="Corbel" w:hAnsi="Corbel"/>
          <w:sz w:val="22"/>
          <w:szCs w:val="22"/>
        </w:rPr>
      </w:pPr>
    </w:p>
    <w:p w:rsidR="00F40E1F" w:rsidRPr="000D7ADE" w:rsidRDefault="00275977" w:rsidP="004A19AE">
      <w:pPr>
        <w:pStyle w:val="ListParagraph"/>
        <w:numPr>
          <w:ilvl w:val="0"/>
          <w:numId w:val="9"/>
        </w:numPr>
        <w:spacing w:line="276" w:lineRule="auto"/>
        <w:jc w:val="both"/>
        <w:rPr>
          <w:rFonts w:ascii="Corbel" w:hAnsi="Corbel"/>
          <w:i/>
          <w:sz w:val="22"/>
          <w:szCs w:val="22"/>
        </w:rPr>
      </w:pPr>
      <w:r w:rsidRPr="000D7ADE">
        <w:rPr>
          <w:rFonts w:ascii="Corbel" w:hAnsi="Corbel"/>
          <w:i/>
          <w:sz w:val="22"/>
          <w:szCs w:val="22"/>
        </w:rPr>
        <w:t>Income statement</w:t>
      </w:r>
    </w:p>
    <w:p w:rsidR="00275977" w:rsidRPr="000D7ADE" w:rsidRDefault="007F0A9F" w:rsidP="000B0EED">
      <w:pPr>
        <w:spacing w:line="276" w:lineRule="auto"/>
        <w:jc w:val="both"/>
        <w:rPr>
          <w:rFonts w:ascii="Corbel" w:hAnsi="Corbel"/>
          <w:sz w:val="22"/>
          <w:szCs w:val="22"/>
        </w:rPr>
      </w:pPr>
      <w:r w:rsidRPr="007F0A9F">
        <w:rPr>
          <w:rFonts w:ascii="Corbel" w:hAnsi="Corbel"/>
          <w:sz w:val="22"/>
          <w:szCs w:val="22"/>
        </w:rPr>
        <w:t>As the ranking is about the foundations activities</w:t>
      </w:r>
      <w:r w:rsidR="00682EDC">
        <w:rPr>
          <w:rFonts w:ascii="Corbel" w:hAnsi="Corbel"/>
          <w:sz w:val="22"/>
          <w:szCs w:val="22"/>
        </w:rPr>
        <w:t xml:space="preserve"> and</w:t>
      </w:r>
      <w:r w:rsidRPr="007F0A9F">
        <w:rPr>
          <w:rFonts w:ascii="Corbel" w:hAnsi="Corbel"/>
          <w:sz w:val="22"/>
          <w:szCs w:val="22"/>
        </w:rPr>
        <w:t xml:space="preserve"> performance over a particular year, </w:t>
      </w:r>
      <w:r>
        <w:rPr>
          <w:rFonts w:ascii="Corbel" w:hAnsi="Corbel"/>
          <w:sz w:val="22"/>
          <w:szCs w:val="22"/>
        </w:rPr>
        <w:t>f</w:t>
      </w:r>
      <w:r w:rsidR="00010D67" w:rsidRPr="000D7ADE">
        <w:rPr>
          <w:rFonts w:ascii="Corbel" w:hAnsi="Corbel"/>
          <w:sz w:val="22"/>
          <w:szCs w:val="22"/>
        </w:rPr>
        <w:t xml:space="preserve">inancials are extracted from the income statement of an annual report </w:t>
      </w:r>
      <w:r w:rsidR="00E00843" w:rsidRPr="000D7ADE">
        <w:rPr>
          <w:rFonts w:ascii="Corbel" w:hAnsi="Corbel"/>
          <w:sz w:val="22"/>
          <w:szCs w:val="22"/>
        </w:rPr>
        <w:t xml:space="preserve">and include the grant commitments made </w:t>
      </w:r>
      <w:r w:rsidR="00275977" w:rsidRPr="000D7ADE">
        <w:rPr>
          <w:rFonts w:ascii="Corbel" w:hAnsi="Corbel"/>
          <w:sz w:val="22"/>
          <w:szCs w:val="22"/>
        </w:rPr>
        <w:t xml:space="preserve">in the </w:t>
      </w:r>
      <w:r w:rsidR="00E00843" w:rsidRPr="000D7ADE">
        <w:rPr>
          <w:rFonts w:ascii="Corbel" w:hAnsi="Corbel"/>
          <w:sz w:val="22"/>
          <w:szCs w:val="22"/>
        </w:rPr>
        <w:t>respective year.</w:t>
      </w:r>
      <w:r w:rsidR="00275977" w:rsidRPr="000D7ADE">
        <w:rPr>
          <w:rFonts w:ascii="Corbel" w:hAnsi="Corbel"/>
          <w:sz w:val="22"/>
          <w:szCs w:val="22"/>
        </w:rPr>
        <w:t xml:space="preserve"> </w:t>
      </w:r>
      <w:r w:rsidR="00010D67" w:rsidRPr="000D7ADE">
        <w:rPr>
          <w:rFonts w:ascii="Corbel" w:hAnsi="Corbel"/>
          <w:sz w:val="22"/>
          <w:szCs w:val="22"/>
        </w:rPr>
        <w:t xml:space="preserve">In the accounting policies of several annual reports, grant commitments are described </w:t>
      </w:r>
      <w:r w:rsidR="00162AD3" w:rsidRPr="000D7ADE">
        <w:rPr>
          <w:rFonts w:ascii="Corbel" w:hAnsi="Corbel"/>
          <w:sz w:val="22"/>
          <w:szCs w:val="22"/>
        </w:rPr>
        <w:t>in terms of</w:t>
      </w:r>
      <w:r w:rsidR="00010D67" w:rsidRPr="000D7ADE">
        <w:rPr>
          <w:rFonts w:ascii="Corbel" w:hAnsi="Corbel"/>
          <w:sz w:val="22"/>
          <w:szCs w:val="22"/>
        </w:rPr>
        <w:t xml:space="preserve">: “grants are charged to income statement when the unconditional promise to give is approved. Conditional promises to give are recognized as grant expense in the period in which the recipient meets the terms of the condition”.  </w:t>
      </w:r>
    </w:p>
    <w:p w:rsidR="00E00843" w:rsidRPr="000D7ADE" w:rsidRDefault="00E00843" w:rsidP="00F40E1F">
      <w:pPr>
        <w:spacing w:line="276" w:lineRule="auto"/>
        <w:jc w:val="both"/>
        <w:rPr>
          <w:rFonts w:ascii="Corbel" w:hAnsi="Corbel"/>
          <w:sz w:val="22"/>
          <w:szCs w:val="22"/>
        </w:rPr>
      </w:pPr>
    </w:p>
    <w:p w:rsidR="00E00843" w:rsidRPr="004A19AE" w:rsidRDefault="00E00843" w:rsidP="004A19AE">
      <w:pPr>
        <w:pStyle w:val="ListParagraph"/>
        <w:numPr>
          <w:ilvl w:val="0"/>
          <w:numId w:val="10"/>
        </w:numPr>
        <w:spacing w:line="276" w:lineRule="auto"/>
        <w:jc w:val="both"/>
        <w:rPr>
          <w:rFonts w:ascii="Corbel" w:hAnsi="Corbel" w:cstheme="minorHAnsi"/>
          <w:i/>
          <w:sz w:val="22"/>
          <w:szCs w:val="22"/>
        </w:rPr>
      </w:pPr>
      <w:r w:rsidRPr="004A19AE">
        <w:rPr>
          <w:rFonts w:ascii="Corbel" w:hAnsi="Corbel" w:cstheme="minorHAnsi"/>
          <w:i/>
          <w:sz w:val="22"/>
          <w:szCs w:val="22"/>
        </w:rPr>
        <w:t xml:space="preserve">Reporting </w:t>
      </w:r>
      <w:r w:rsidR="00BF0000" w:rsidRPr="004A19AE">
        <w:rPr>
          <w:rFonts w:ascii="Corbel" w:hAnsi="Corbel" w:cstheme="minorHAnsi"/>
          <w:i/>
          <w:sz w:val="22"/>
          <w:szCs w:val="22"/>
        </w:rPr>
        <w:t>period</w:t>
      </w:r>
    </w:p>
    <w:p w:rsidR="00BF0000" w:rsidRDefault="000B0EED" w:rsidP="00F31343">
      <w:pPr>
        <w:spacing w:line="276" w:lineRule="auto"/>
        <w:jc w:val="both"/>
        <w:rPr>
          <w:rFonts w:ascii="Corbel" w:hAnsi="Corbel" w:cstheme="minorHAnsi"/>
          <w:sz w:val="22"/>
          <w:szCs w:val="22"/>
        </w:rPr>
      </w:pPr>
      <w:r w:rsidRPr="000D7ADE">
        <w:rPr>
          <w:rFonts w:ascii="Corbel" w:hAnsi="Corbel" w:cstheme="minorHAnsi"/>
          <w:sz w:val="22"/>
          <w:szCs w:val="22"/>
        </w:rPr>
        <w:t>The reported financials cover the years 2017, 2016, 2015, 2014 and 2013.</w:t>
      </w:r>
      <w:r w:rsidR="000D39BF" w:rsidRPr="000D7ADE">
        <w:rPr>
          <w:rFonts w:ascii="Corbel" w:hAnsi="Corbel" w:cstheme="minorHAnsi"/>
          <w:sz w:val="22"/>
          <w:szCs w:val="22"/>
        </w:rPr>
        <w:t xml:space="preserve"> </w:t>
      </w:r>
      <w:r w:rsidR="00275977" w:rsidRPr="000D7ADE">
        <w:rPr>
          <w:rFonts w:ascii="Corbel" w:hAnsi="Corbel" w:cstheme="minorHAnsi"/>
          <w:sz w:val="22"/>
          <w:szCs w:val="22"/>
        </w:rPr>
        <w:t>Some foundations</w:t>
      </w:r>
      <w:r w:rsidRPr="000D7ADE">
        <w:rPr>
          <w:rFonts w:ascii="Corbel" w:hAnsi="Corbel" w:cstheme="minorHAnsi"/>
          <w:sz w:val="22"/>
          <w:szCs w:val="22"/>
        </w:rPr>
        <w:t>, however,</w:t>
      </w:r>
      <w:r w:rsidR="00275977" w:rsidRPr="000D7ADE">
        <w:rPr>
          <w:rFonts w:ascii="Corbel" w:hAnsi="Corbel" w:cstheme="minorHAnsi"/>
          <w:sz w:val="22"/>
          <w:szCs w:val="22"/>
        </w:rPr>
        <w:t xml:space="preserve"> have a </w:t>
      </w:r>
      <w:r w:rsidR="000D39BF" w:rsidRPr="000D7ADE">
        <w:rPr>
          <w:rFonts w:ascii="Corbel" w:hAnsi="Corbel" w:cstheme="minorHAnsi"/>
          <w:sz w:val="22"/>
          <w:szCs w:val="22"/>
        </w:rPr>
        <w:t xml:space="preserve">different reporting period than the calendar year. </w:t>
      </w:r>
      <w:r w:rsidR="00BF0000" w:rsidRPr="000D7ADE">
        <w:rPr>
          <w:rFonts w:ascii="Corbel" w:hAnsi="Corbel" w:cstheme="minorHAnsi"/>
          <w:sz w:val="22"/>
          <w:szCs w:val="22"/>
        </w:rPr>
        <w:t xml:space="preserve">This is </w:t>
      </w:r>
      <w:r w:rsidR="00F31343" w:rsidRPr="000D7ADE">
        <w:rPr>
          <w:rFonts w:ascii="Corbel" w:hAnsi="Corbel" w:cs="Calibri"/>
          <w:sz w:val="22"/>
          <w:szCs w:val="22"/>
        </w:rPr>
        <w:t>somewhat unfortunate, but at the same time unavoidable</w:t>
      </w:r>
      <w:r w:rsidR="007F0A9F">
        <w:rPr>
          <w:rFonts w:ascii="Corbel" w:hAnsi="Corbel" w:cs="Calibri"/>
          <w:sz w:val="22"/>
          <w:szCs w:val="22"/>
        </w:rPr>
        <w:t xml:space="preserve"> because it is related to a</w:t>
      </w:r>
      <w:r w:rsidR="000D7ADE">
        <w:rPr>
          <w:rFonts w:ascii="Corbel" w:hAnsi="Corbel" w:cs="Calibri"/>
          <w:sz w:val="22"/>
          <w:szCs w:val="22"/>
        </w:rPr>
        <w:t xml:space="preserve">n </w:t>
      </w:r>
      <w:r w:rsidR="006252C3" w:rsidRPr="000D7ADE">
        <w:rPr>
          <w:rFonts w:ascii="Corbel" w:hAnsi="Corbel" w:cs="Calibri"/>
          <w:sz w:val="22"/>
          <w:szCs w:val="22"/>
        </w:rPr>
        <w:t xml:space="preserve">important principle of </w:t>
      </w:r>
      <w:r w:rsidR="007F0A9F">
        <w:rPr>
          <w:rFonts w:ascii="Corbel" w:hAnsi="Corbel" w:cs="Calibri"/>
          <w:sz w:val="22"/>
          <w:szCs w:val="22"/>
        </w:rPr>
        <w:t xml:space="preserve">our </w:t>
      </w:r>
      <w:r w:rsidR="00BF0000" w:rsidRPr="000D7ADE">
        <w:rPr>
          <w:rFonts w:ascii="Corbel" w:hAnsi="Corbel" w:cstheme="minorHAnsi"/>
          <w:sz w:val="22"/>
          <w:szCs w:val="22"/>
        </w:rPr>
        <w:t>ranking</w:t>
      </w:r>
      <w:r w:rsidR="00162AD3" w:rsidRPr="000D7ADE">
        <w:rPr>
          <w:rFonts w:ascii="Corbel" w:hAnsi="Corbel" w:cstheme="minorHAnsi"/>
          <w:sz w:val="22"/>
          <w:szCs w:val="22"/>
        </w:rPr>
        <w:t xml:space="preserve">: </w:t>
      </w:r>
      <w:r w:rsidR="007F0A9F">
        <w:rPr>
          <w:rFonts w:ascii="Corbel" w:hAnsi="Corbel" w:cstheme="minorHAnsi"/>
          <w:sz w:val="22"/>
          <w:szCs w:val="22"/>
        </w:rPr>
        <w:t>‘</w:t>
      </w:r>
      <w:r w:rsidR="006D3A9D">
        <w:rPr>
          <w:rFonts w:ascii="Corbel" w:hAnsi="Corbel" w:cstheme="minorHAnsi"/>
          <w:sz w:val="22"/>
          <w:szCs w:val="22"/>
        </w:rPr>
        <w:t xml:space="preserve">it is </w:t>
      </w:r>
      <w:r w:rsidR="00BF0000" w:rsidRPr="000D7ADE">
        <w:rPr>
          <w:rFonts w:ascii="Corbel" w:hAnsi="Corbel" w:cstheme="minorHAnsi"/>
          <w:sz w:val="22"/>
          <w:szCs w:val="22"/>
        </w:rPr>
        <w:t>based on the financial statements provided in the annual reports of foundations</w:t>
      </w:r>
      <w:r w:rsidR="00162AD3" w:rsidRPr="000D7ADE">
        <w:rPr>
          <w:rFonts w:ascii="Corbel" w:hAnsi="Corbel" w:cstheme="minorHAnsi"/>
          <w:sz w:val="22"/>
          <w:szCs w:val="22"/>
        </w:rPr>
        <w:t>’</w:t>
      </w:r>
      <w:r w:rsidR="00BF0000" w:rsidRPr="000D7ADE">
        <w:rPr>
          <w:rFonts w:ascii="Corbel" w:hAnsi="Corbel" w:cstheme="minorHAnsi"/>
          <w:sz w:val="22"/>
          <w:szCs w:val="22"/>
        </w:rPr>
        <w:t xml:space="preserve">. </w:t>
      </w:r>
      <w:r w:rsidR="00AB225E">
        <w:rPr>
          <w:rFonts w:ascii="Corbel" w:hAnsi="Corbel" w:cstheme="minorHAnsi"/>
          <w:sz w:val="22"/>
          <w:szCs w:val="22"/>
        </w:rPr>
        <w:t xml:space="preserve">Therefore </w:t>
      </w:r>
      <w:r w:rsidR="00BF0000" w:rsidRPr="000D7ADE">
        <w:rPr>
          <w:rFonts w:ascii="Corbel" w:hAnsi="Corbel" w:cstheme="minorHAnsi"/>
          <w:sz w:val="22"/>
          <w:szCs w:val="22"/>
        </w:rPr>
        <w:t>we follow these foundations</w:t>
      </w:r>
      <w:r w:rsidR="006252C3" w:rsidRPr="000D7ADE">
        <w:rPr>
          <w:rFonts w:ascii="Corbel" w:hAnsi="Corbel" w:cstheme="minorHAnsi"/>
          <w:sz w:val="22"/>
          <w:szCs w:val="22"/>
        </w:rPr>
        <w:t>’</w:t>
      </w:r>
      <w:r w:rsidR="00BF0000" w:rsidRPr="000D7ADE">
        <w:rPr>
          <w:rFonts w:ascii="Corbel" w:hAnsi="Corbel" w:cstheme="minorHAnsi"/>
          <w:sz w:val="22"/>
          <w:szCs w:val="22"/>
        </w:rPr>
        <w:t xml:space="preserve"> </w:t>
      </w:r>
      <w:r w:rsidR="006252C3" w:rsidRPr="000D7ADE">
        <w:rPr>
          <w:rFonts w:ascii="Corbel" w:hAnsi="Corbel" w:cstheme="minorHAnsi"/>
          <w:sz w:val="22"/>
          <w:szCs w:val="22"/>
        </w:rPr>
        <w:t xml:space="preserve">own reporting period </w:t>
      </w:r>
      <w:r w:rsidR="007F0A9F">
        <w:rPr>
          <w:rFonts w:ascii="Corbel" w:hAnsi="Corbel" w:cstheme="minorHAnsi"/>
          <w:sz w:val="22"/>
          <w:szCs w:val="22"/>
        </w:rPr>
        <w:t xml:space="preserve">over the time </w:t>
      </w:r>
      <w:r w:rsidR="00F31343" w:rsidRPr="000D7ADE">
        <w:rPr>
          <w:rFonts w:ascii="Corbel" w:hAnsi="Corbel" w:cstheme="minorHAnsi"/>
          <w:sz w:val="22"/>
          <w:szCs w:val="22"/>
        </w:rPr>
        <w:t xml:space="preserve">in a </w:t>
      </w:r>
      <w:r w:rsidR="00BF0000" w:rsidRPr="000D7ADE">
        <w:rPr>
          <w:rFonts w:ascii="Corbel" w:hAnsi="Corbel" w:cstheme="minorHAnsi"/>
          <w:sz w:val="22"/>
          <w:szCs w:val="22"/>
        </w:rPr>
        <w:t xml:space="preserve">consistent </w:t>
      </w:r>
      <w:r w:rsidR="00F31343" w:rsidRPr="000D7ADE">
        <w:rPr>
          <w:rFonts w:ascii="Corbel" w:hAnsi="Corbel" w:cstheme="minorHAnsi"/>
          <w:sz w:val="22"/>
          <w:szCs w:val="22"/>
        </w:rPr>
        <w:t>way</w:t>
      </w:r>
      <w:r w:rsidR="006252C3" w:rsidRPr="000D7ADE">
        <w:rPr>
          <w:rFonts w:ascii="Corbel" w:hAnsi="Corbel" w:cstheme="minorHAnsi"/>
          <w:sz w:val="22"/>
          <w:szCs w:val="22"/>
        </w:rPr>
        <w:t>.</w:t>
      </w:r>
      <w:r w:rsidR="00F31343" w:rsidRPr="000D7ADE">
        <w:rPr>
          <w:rFonts w:ascii="Corbel" w:hAnsi="Corbel" w:cstheme="minorHAnsi"/>
          <w:sz w:val="22"/>
          <w:szCs w:val="22"/>
        </w:rPr>
        <w:t xml:space="preserve"> </w:t>
      </w:r>
    </w:p>
    <w:p w:rsidR="007C2EDE" w:rsidRPr="000D7ADE" w:rsidRDefault="007C2EDE" w:rsidP="00F31343">
      <w:pPr>
        <w:spacing w:line="276" w:lineRule="auto"/>
        <w:jc w:val="both"/>
        <w:rPr>
          <w:rFonts w:ascii="Corbel" w:hAnsi="Corbel" w:cstheme="minorHAnsi"/>
          <w:sz w:val="22"/>
          <w:szCs w:val="22"/>
        </w:rPr>
      </w:pPr>
    </w:p>
    <w:p w:rsidR="00F40E1F" w:rsidRPr="000D7ADE" w:rsidRDefault="00F40E1F" w:rsidP="004A19AE">
      <w:pPr>
        <w:pStyle w:val="ListParagraph"/>
        <w:numPr>
          <w:ilvl w:val="0"/>
          <w:numId w:val="11"/>
        </w:numPr>
        <w:spacing w:line="276" w:lineRule="auto"/>
        <w:jc w:val="both"/>
        <w:rPr>
          <w:rFonts w:ascii="Corbel" w:hAnsi="Corbel" w:cstheme="minorHAnsi"/>
          <w:i/>
          <w:sz w:val="22"/>
          <w:szCs w:val="22"/>
        </w:rPr>
      </w:pPr>
      <w:proofErr w:type="spellStart"/>
      <w:r w:rsidRPr="000D7ADE">
        <w:rPr>
          <w:rFonts w:ascii="Corbel" w:hAnsi="Corbel" w:cstheme="minorHAnsi"/>
          <w:i/>
          <w:sz w:val="22"/>
          <w:szCs w:val="22"/>
        </w:rPr>
        <w:t>Grantmaking</w:t>
      </w:r>
      <w:proofErr w:type="spellEnd"/>
    </w:p>
    <w:p w:rsidR="00E00843" w:rsidRDefault="00CD6BC0" w:rsidP="00E00843">
      <w:pPr>
        <w:spacing w:line="276" w:lineRule="auto"/>
        <w:jc w:val="both"/>
        <w:rPr>
          <w:rFonts w:ascii="Corbel" w:hAnsi="Corbel"/>
          <w:sz w:val="22"/>
          <w:szCs w:val="22"/>
        </w:rPr>
      </w:pPr>
      <w:r w:rsidRPr="000D7ADE">
        <w:rPr>
          <w:rFonts w:ascii="Corbel" w:hAnsi="Corbel"/>
          <w:sz w:val="22"/>
          <w:szCs w:val="22"/>
        </w:rPr>
        <w:t xml:space="preserve">In this study we only focus on the grant making activities of foundations. </w:t>
      </w:r>
      <w:r w:rsidR="00537BFE" w:rsidRPr="000D7ADE">
        <w:rPr>
          <w:rFonts w:ascii="Corbel" w:hAnsi="Corbel"/>
          <w:sz w:val="22"/>
          <w:szCs w:val="22"/>
        </w:rPr>
        <w:t xml:space="preserve">We carefully check whether the figures included pure-grant making </w:t>
      </w:r>
      <w:r w:rsidR="00E6186E" w:rsidRPr="000D7ADE">
        <w:rPr>
          <w:rFonts w:ascii="Corbel" w:hAnsi="Corbel"/>
          <w:sz w:val="22"/>
          <w:szCs w:val="22"/>
        </w:rPr>
        <w:t xml:space="preserve">to third parties </w:t>
      </w:r>
      <w:r w:rsidR="00537BFE" w:rsidRPr="000D7ADE">
        <w:rPr>
          <w:rFonts w:ascii="Corbel" w:hAnsi="Corbel"/>
          <w:sz w:val="22"/>
          <w:szCs w:val="22"/>
        </w:rPr>
        <w:t>only</w:t>
      </w:r>
      <w:r w:rsidR="00475C5D" w:rsidRPr="000D7ADE">
        <w:rPr>
          <w:rFonts w:ascii="Corbel" w:hAnsi="Corbel"/>
          <w:sz w:val="22"/>
          <w:szCs w:val="22"/>
        </w:rPr>
        <w:t xml:space="preserve"> (</w:t>
      </w:r>
      <w:r w:rsidRPr="000D7ADE">
        <w:rPr>
          <w:rFonts w:ascii="Corbel" w:hAnsi="Corbel"/>
          <w:sz w:val="22"/>
          <w:szCs w:val="22"/>
        </w:rPr>
        <w:t xml:space="preserve">to </w:t>
      </w:r>
      <w:r w:rsidR="00475C5D" w:rsidRPr="000D7ADE">
        <w:rPr>
          <w:rFonts w:ascii="Corbel" w:hAnsi="Corbel"/>
          <w:sz w:val="22"/>
          <w:szCs w:val="22"/>
        </w:rPr>
        <w:t>funded projects and</w:t>
      </w:r>
      <w:r w:rsidR="00162AD3" w:rsidRPr="000D7ADE">
        <w:rPr>
          <w:rFonts w:ascii="Corbel" w:hAnsi="Corbel"/>
          <w:sz w:val="22"/>
          <w:szCs w:val="22"/>
        </w:rPr>
        <w:t>/or</w:t>
      </w:r>
      <w:r w:rsidR="00475C5D" w:rsidRPr="000D7ADE">
        <w:rPr>
          <w:rFonts w:ascii="Corbel" w:hAnsi="Corbel"/>
          <w:sz w:val="22"/>
          <w:szCs w:val="22"/>
        </w:rPr>
        <w:t xml:space="preserve"> grantees)</w:t>
      </w:r>
      <w:r w:rsidR="00E6186E" w:rsidRPr="000D7ADE">
        <w:rPr>
          <w:rFonts w:ascii="Corbel" w:hAnsi="Corbel"/>
          <w:sz w:val="22"/>
          <w:szCs w:val="22"/>
        </w:rPr>
        <w:t xml:space="preserve">. We </w:t>
      </w:r>
      <w:r w:rsidR="00537BFE" w:rsidRPr="000D7ADE">
        <w:rPr>
          <w:rFonts w:ascii="Corbel" w:hAnsi="Corbel"/>
          <w:sz w:val="22"/>
          <w:szCs w:val="22"/>
        </w:rPr>
        <w:t>strip them from staff</w:t>
      </w:r>
      <w:r w:rsidR="00662131">
        <w:rPr>
          <w:rFonts w:ascii="Corbel" w:hAnsi="Corbel"/>
          <w:sz w:val="22"/>
          <w:szCs w:val="22"/>
        </w:rPr>
        <w:t xml:space="preserve"> -</w:t>
      </w:r>
      <w:r w:rsidR="00537BFE" w:rsidRPr="000D7ADE">
        <w:rPr>
          <w:rFonts w:ascii="Corbel" w:hAnsi="Corbel"/>
          <w:sz w:val="22"/>
          <w:szCs w:val="22"/>
        </w:rPr>
        <w:t>overhead- or other governance costs in the rare occasion foundations include these type of costs to their t</w:t>
      </w:r>
      <w:r w:rsidR="008501C9" w:rsidRPr="000D7ADE">
        <w:rPr>
          <w:rFonts w:ascii="Corbel" w:hAnsi="Corbel"/>
          <w:sz w:val="22"/>
          <w:szCs w:val="22"/>
        </w:rPr>
        <w:t>otal grant</w:t>
      </w:r>
      <w:r w:rsidR="0035162E" w:rsidRPr="000D7ADE">
        <w:rPr>
          <w:rFonts w:ascii="Corbel" w:hAnsi="Corbel"/>
          <w:sz w:val="22"/>
          <w:szCs w:val="22"/>
        </w:rPr>
        <w:t xml:space="preserve"> </w:t>
      </w:r>
      <w:r w:rsidR="008501C9" w:rsidRPr="000D7ADE">
        <w:rPr>
          <w:rFonts w:ascii="Corbel" w:hAnsi="Corbel"/>
          <w:sz w:val="22"/>
          <w:szCs w:val="22"/>
        </w:rPr>
        <w:t xml:space="preserve">making expenditure. </w:t>
      </w:r>
      <w:r w:rsidR="00E6186E" w:rsidRPr="000D7ADE">
        <w:rPr>
          <w:rFonts w:ascii="Corbel" w:hAnsi="Corbel"/>
          <w:sz w:val="22"/>
          <w:szCs w:val="22"/>
        </w:rPr>
        <w:t xml:space="preserve">In case foundations are involved in </w:t>
      </w:r>
      <w:proofErr w:type="spellStart"/>
      <w:r w:rsidR="00E6186E" w:rsidRPr="000D7ADE">
        <w:rPr>
          <w:rFonts w:ascii="Corbel" w:hAnsi="Corbel"/>
          <w:sz w:val="22"/>
          <w:szCs w:val="22"/>
        </w:rPr>
        <w:lastRenderedPageBreak/>
        <w:t>grantmaking</w:t>
      </w:r>
      <w:proofErr w:type="spellEnd"/>
      <w:r w:rsidR="00E6186E" w:rsidRPr="000D7ADE">
        <w:rPr>
          <w:rFonts w:ascii="Corbel" w:hAnsi="Corbel"/>
          <w:sz w:val="22"/>
          <w:szCs w:val="22"/>
        </w:rPr>
        <w:t xml:space="preserve"> and operating activities</w:t>
      </w:r>
      <w:r w:rsidR="00475C5D" w:rsidRPr="000D7ADE">
        <w:rPr>
          <w:rFonts w:ascii="Corbel" w:hAnsi="Corbel"/>
          <w:sz w:val="22"/>
          <w:szCs w:val="22"/>
        </w:rPr>
        <w:t xml:space="preserve"> (operating their own </w:t>
      </w:r>
      <w:r w:rsidR="00162AD3" w:rsidRPr="000D7ADE">
        <w:rPr>
          <w:rFonts w:ascii="Corbel" w:hAnsi="Corbel"/>
          <w:sz w:val="22"/>
          <w:szCs w:val="22"/>
        </w:rPr>
        <w:t xml:space="preserve">charitable </w:t>
      </w:r>
      <w:proofErr w:type="spellStart"/>
      <w:r w:rsidR="00475C5D" w:rsidRPr="000D7ADE">
        <w:rPr>
          <w:rFonts w:ascii="Corbel" w:hAnsi="Corbel"/>
          <w:sz w:val="22"/>
          <w:szCs w:val="22"/>
        </w:rPr>
        <w:t>programmes</w:t>
      </w:r>
      <w:proofErr w:type="spellEnd"/>
      <w:r w:rsidR="00475C5D" w:rsidRPr="000D7ADE">
        <w:rPr>
          <w:rFonts w:ascii="Corbel" w:hAnsi="Corbel"/>
          <w:sz w:val="22"/>
          <w:szCs w:val="22"/>
        </w:rPr>
        <w:t>)</w:t>
      </w:r>
      <w:r w:rsidR="00E6186E" w:rsidRPr="000D7ADE">
        <w:rPr>
          <w:rFonts w:ascii="Corbel" w:hAnsi="Corbel"/>
          <w:sz w:val="22"/>
          <w:szCs w:val="22"/>
        </w:rPr>
        <w:t xml:space="preserve">, we </w:t>
      </w:r>
      <w:r w:rsidR="00662131">
        <w:rPr>
          <w:rFonts w:ascii="Corbel" w:hAnsi="Corbel"/>
          <w:sz w:val="22"/>
          <w:szCs w:val="22"/>
        </w:rPr>
        <w:t xml:space="preserve">only include the expenses of grants to third parties </w:t>
      </w:r>
      <w:r w:rsidR="004A19AE">
        <w:rPr>
          <w:rFonts w:ascii="Corbel" w:hAnsi="Corbel"/>
          <w:sz w:val="22"/>
          <w:szCs w:val="22"/>
        </w:rPr>
        <w:t xml:space="preserve">but exclude the </w:t>
      </w:r>
      <w:r w:rsidR="00E6186E" w:rsidRPr="000D7ADE">
        <w:rPr>
          <w:rFonts w:ascii="Corbel" w:hAnsi="Corbel"/>
          <w:sz w:val="22"/>
          <w:szCs w:val="22"/>
        </w:rPr>
        <w:t>working expenditure (wages, rents, taxes, general costs etc.) on their programs' budgets</w:t>
      </w:r>
      <w:r w:rsidR="00662131">
        <w:rPr>
          <w:rFonts w:ascii="Corbel" w:hAnsi="Corbel"/>
          <w:sz w:val="22"/>
          <w:szCs w:val="22"/>
        </w:rPr>
        <w:t xml:space="preserve">. </w:t>
      </w:r>
      <w:r w:rsidR="00162AD3" w:rsidRPr="004A19AE">
        <w:rPr>
          <w:rFonts w:ascii="Corbel" w:hAnsi="Corbel"/>
          <w:sz w:val="22"/>
          <w:szCs w:val="22"/>
        </w:rPr>
        <w:t>D</w:t>
      </w:r>
      <w:r w:rsidR="00E00843" w:rsidRPr="004A19AE">
        <w:rPr>
          <w:rFonts w:ascii="Corbel" w:hAnsi="Corbel"/>
          <w:sz w:val="22"/>
          <w:szCs w:val="22"/>
        </w:rPr>
        <w:t xml:space="preserve">irect charitable expenses </w:t>
      </w:r>
      <w:r w:rsidR="00162AD3" w:rsidRPr="004A19AE">
        <w:rPr>
          <w:rFonts w:ascii="Corbel" w:hAnsi="Corbel"/>
          <w:sz w:val="22"/>
          <w:szCs w:val="22"/>
        </w:rPr>
        <w:t xml:space="preserve">are excluded </w:t>
      </w:r>
      <w:r w:rsidR="00E00843" w:rsidRPr="004A19AE">
        <w:rPr>
          <w:rFonts w:ascii="Corbel" w:hAnsi="Corbel"/>
          <w:sz w:val="22"/>
          <w:szCs w:val="22"/>
        </w:rPr>
        <w:t xml:space="preserve">as well as these are often somewhat ambiguous costs. </w:t>
      </w:r>
    </w:p>
    <w:p w:rsidR="004A19AE" w:rsidRDefault="004A19AE" w:rsidP="00E00843">
      <w:pPr>
        <w:spacing w:line="276" w:lineRule="auto"/>
        <w:jc w:val="both"/>
        <w:rPr>
          <w:rFonts w:ascii="Corbel" w:hAnsi="Corbel"/>
          <w:sz w:val="22"/>
          <w:szCs w:val="22"/>
        </w:rPr>
      </w:pPr>
    </w:p>
    <w:p w:rsidR="004A19AE" w:rsidRPr="004A19AE" w:rsidRDefault="004A19AE" w:rsidP="004A19AE">
      <w:pPr>
        <w:pStyle w:val="ListParagraph"/>
        <w:numPr>
          <w:ilvl w:val="0"/>
          <w:numId w:val="12"/>
        </w:numPr>
        <w:spacing w:line="276" w:lineRule="auto"/>
        <w:jc w:val="both"/>
        <w:rPr>
          <w:rFonts w:ascii="Corbel" w:eastAsiaTheme="minorHAnsi" w:hAnsi="Corbel" w:cs="Calibri"/>
          <w:sz w:val="22"/>
          <w:szCs w:val="22"/>
          <w:lang w:eastAsia="nl-NL"/>
        </w:rPr>
      </w:pPr>
      <w:r w:rsidRPr="004A19AE">
        <w:rPr>
          <w:rFonts w:ascii="Corbel" w:hAnsi="Corbel"/>
          <w:i/>
          <w:sz w:val="22"/>
          <w:szCs w:val="22"/>
        </w:rPr>
        <w:t>Corrections in 2016 data</w:t>
      </w:r>
    </w:p>
    <w:p w:rsidR="004A19AE" w:rsidRPr="005C4C35" w:rsidRDefault="004A19AE" w:rsidP="004A19AE">
      <w:pPr>
        <w:spacing w:line="276" w:lineRule="auto"/>
        <w:jc w:val="both"/>
        <w:rPr>
          <w:rFonts w:ascii="Corbel" w:eastAsiaTheme="minorHAnsi" w:hAnsi="Corbel" w:cs="Calibri"/>
          <w:sz w:val="22"/>
          <w:szCs w:val="22"/>
          <w:lang w:eastAsia="nl-NL"/>
        </w:rPr>
      </w:pPr>
      <w:r w:rsidRPr="005C4C35">
        <w:rPr>
          <w:rFonts w:ascii="Corbel" w:hAnsi="Corbel" w:cs="Calibri"/>
          <w:sz w:val="22"/>
          <w:szCs w:val="22"/>
        </w:rPr>
        <w:t xml:space="preserve">It is crucial for the reliability and credibility of the ranking that its methodology is sound and consistent with previous years. This year’s ranking follows the principles we have used in the past. However, in order to be consistent we have made some refinements and corrections in the data of the previous year (2016). </w:t>
      </w:r>
      <w:r>
        <w:rPr>
          <w:rFonts w:ascii="Corbel" w:hAnsi="Corbel" w:cs="Calibri"/>
          <w:sz w:val="22"/>
          <w:szCs w:val="22"/>
        </w:rPr>
        <w:t>Main c</w:t>
      </w:r>
      <w:r w:rsidRPr="005C4C35">
        <w:rPr>
          <w:rFonts w:ascii="Corbel" w:hAnsi="Corbel" w:cs="Calibri"/>
          <w:sz w:val="22"/>
          <w:szCs w:val="22"/>
        </w:rPr>
        <w:t xml:space="preserve">orrections were made for “la </w:t>
      </w:r>
      <w:proofErr w:type="spellStart"/>
      <w:r w:rsidRPr="005C4C35">
        <w:rPr>
          <w:rFonts w:ascii="Corbel" w:hAnsi="Corbel" w:cs="Calibri"/>
          <w:sz w:val="22"/>
          <w:szCs w:val="22"/>
        </w:rPr>
        <w:t>Caixa</w:t>
      </w:r>
      <w:proofErr w:type="spellEnd"/>
      <w:r w:rsidRPr="005C4C35">
        <w:rPr>
          <w:rFonts w:ascii="Corbel" w:hAnsi="Corbel" w:cs="Calibri"/>
          <w:sz w:val="22"/>
          <w:szCs w:val="22"/>
        </w:rPr>
        <w:t xml:space="preserve">” Foundation, Robert Bosch Foundation and Bertelsmann </w:t>
      </w:r>
      <w:proofErr w:type="spellStart"/>
      <w:r w:rsidRPr="005C4C35">
        <w:rPr>
          <w:rFonts w:ascii="Corbel" w:hAnsi="Corbel" w:cs="Calibri"/>
          <w:sz w:val="22"/>
          <w:szCs w:val="22"/>
        </w:rPr>
        <w:t>Stiftung</w:t>
      </w:r>
      <w:proofErr w:type="spellEnd"/>
      <w:r w:rsidRPr="005C4C35">
        <w:rPr>
          <w:rFonts w:ascii="Corbel" w:hAnsi="Corbel" w:cs="Calibri"/>
          <w:sz w:val="22"/>
          <w:szCs w:val="22"/>
        </w:rPr>
        <w:t xml:space="preserve">, by excluding their operating expenses for </w:t>
      </w:r>
      <w:r>
        <w:rPr>
          <w:rFonts w:ascii="Corbel" w:hAnsi="Corbel" w:cs="Calibri"/>
          <w:sz w:val="22"/>
          <w:szCs w:val="22"/>
        </w:rPr>
        <w:t xml:space="preserve">charitable </w:t>
      </w:r>
      <w:r w:rsidRPr="005C4C35">
        <w:rPr>
          <w:rFonts w:ascii="Corbel" w:hAnsi="Corbel" w:cs="Calibri"/>
          <w:sz w:val="22"/>
          <w:szCs w:val="22"/>
        </w:rPr>
        <w:t xml:space="preserve">programs they run by themselves. Corrections were made as well for the </w:t>
      </w:r>
      <w:proofErr w:type="spellStart"/>
      <w:r w:rsidRPr="005C4C35">
        <w:rPr>
          <w:rFonts w:ascii="Corbel" w:hAnsi="Corbel" w:cs="Calibri"/>
          <w:sz w:val="22"/>
          <w:szCs w:val="22"/>
        </w:rPr>
        <w:t>Wellcome</w:t>
      </w:r>
      <w:proofErr w:type="spellEnd"/>
      <w:r w:rsidRPr="005C4C35">
        <w:rPr>
          <w:rFonts w:ascii="Corbel" w:hAnsi="Corbel" w:cs="Calibri"/>
          <w:sz w:val="22"/>
          <w:szCs w:val="22"/>
        </w:rPr>
        <w:t xml:space="preserve"> Trust, Ford Foundation</w:t>
      </w:r>
      <w:r>
        <w:rPr>
          <w:rFonts w:ascii="Corbel" w:hAnsi="Corbel" w:cs="Calibri"/>
          <w:sz w:val="22"/>
          <w:szCs w:val="22"/>
        </w:rPr>
        <w:t xml:space="preserve"> and the</w:t>
      </w:r>
      <w:r w:rsidRPr="005C4C35">
        <w:rPr>
          <w:rFonts w:ascii="Corbel" w:hAnsi="Corbel" w:cs="Calibri"/>
          <w:sz w:val="22"/>
          <w:szCs w:val="22"/>
        </w:rPr>
        <w:t xml:space="preserve"> </w:t>
      </w:r>
      <w:r w:rsidRPr="005C4C35">
        <w:rPr>
          <w:rFonts w:ascii="Corbel" w:eastAsia="Times New Roman" w:hAnsi="Corbel" w:cs="Calibri"/>
          <w:sz w:val="22"/>
          <w:szCs w:val="22"/>
          <w:lang w:eastAsia="nl-NL"/>
        </w:rPr>
        <w:t>William and Flora Hewlett Foundation, by extracting the financials from the Income Statement instead of the Cash Flow Statement.</w:t>
      </w:r>
      <w:r>
        <w:rPr>
          <w:rFonts w:ascii="Calibri" w:eastAsia="Times New Roman" w:hAnsi="Calibri" w:cs="Calibri"/>
          <w:sz w:val="22"/>
          <w:szCs w:val="22"/>
          <w:lang w:eastAsia="nl-NL"/>
        </w:rPr>
        <w:t xml:space="preserve"> </w:t>
      </w:r>
    </w:p>
    <w:p w:rsidR="00E00843" w:rsidRPr="000D7ADE" w:rsidRDefault="00E00843" w:rsidP="004551D0">
      <w:pPr>
        <w:spacing w:line="276" w:lineRule="auto"/>
        <w:jc w:val="both"/>
        <w:rPr>
          <w:rFonts w:ascii="Corbel" w:hAnsi="Corbel"/>
          <w:sz w:val="22"/>
          <w:szCs w:val="22"/>
        </w:rPr>
      </w:pPr>
    </w:p>
    <w:p w:rsidR="00E00843" w:rsidRPr="004A19AE" w:rsidRDefault="00E00843" w:rsidP="004A19AE">
      <w:pPr>
        <w:pStyle w:val="ListParagraph"/>
        <w:numPr>
          <w:ilvl w:val="0"/>
          <w:numId w:val="13"/>
        </w:numPr>
        <w:spacing w:line="276" w:lineRule="auto"/>
        <w:jc w:val="both"/>
        <w:rPr>
          <w:rFonts w:ascii="Corbel" w:hAnsi="Corbel"/>
          <w:i/>
          <w:sz w:val="22"/>
          <w:szCs w:val="22"/>
        </w:rPr>
      </w:pPr>
      <w:r w:rsidRPr="004A19AE">
        <w:rPr>
          <w:rFonts w:ascii="Corbel" w:hAnsi="Corbel"/>
          <w:i/>
          <w:sz w:val="22"/>
          <w:szCs w:val="22"/>
        </w:rPr>
        <w:t>Currency conversion rates</w:t>
      </w:r>
    </w:p>
    <w:p w:rsidR="00AB225E" w:rsidRDefault="00537BFE" w:rsidP="00CD3E6A">
      <w:pPr>
        <w:spacing w:line="276" w:lineRule="auto"/>
        <w:jc w:val="both"/>
        <w:rPr>
          <w:rFonts w:ascii="Corbel" w:hAnsi="Corbel"/>
          <w:sz w:val="22"/>
          <w:szCs w:val="22"/>
        </w:rPr>
      </w:pPr>
      <w:r w:rsidRPr="000D7ADE">
        <w:rPr>
          <w:rFonts w:ascii="Corbel" w:hAnsi="Corbel"/>
          <w:sz w:val="22"/>
          <w:szCs w:val="22"/>
        </w:rPr>
        <w:t xml:space="preserve">The reported amount contributed by foundations is </w:t>
      </w:r>
      <w:r w:rsidR="008501C9" w:rsidRPr="000D7ADE">
        <w:rPr>
          <w:rFonts w:ascii="Corbel" w:hAnsi="Corbel"/>
          <w:sz w:val="22"/>
          <w:szCs w:val="22"/>
        </w:rPr>
        <w:t>based on the previous year (201</w:t>
      </w:r>
      <w:r w:rsidR="00EC152C" w:rsidRPr="000D7ADE">
        <w:rPr>
          <w:rFonts w:ascii="Corbel" w:hAnsi="Corbel"/>
          <w:sz w:val="22"/>
          <w:szCs w:val="22"/>
        </w:rPr>
        <w:t>7</w:t>
      </w:r>
      <w:r w:rsidRPr="000D7ADE">
        <w:rPr>
          <w:rFonts w:ascii="Corbel" w:hAnsi="Corbel"/>
          <w:sz w:val="22"/>
          <w:szCs w:val="22"/>
        </w:rPr>
        <w:t xml:space="preserve">) and converted to </w:t>
      </w:r>
      <w:r w:rsidR="00162AD3" w:rsidRPr="000D7ADE">
        <w:rPr>
          <w:rFonts w:ascii="Corbel" w:hAnsi="Corbel"/>
          <w:sz w:val="22"/>
          <w:szCs w:val="22"/>
        </w:rPr>
        <w:t xml:space="preserve">USD </w:t>
      </w:r>
      <w:r w:rsidRPr="000D7ADE">
        <w:rPr>
          <w:rFonts w:ascii="Corbel" w:hAnsi="Corbel"/>
          <w:sz w:val="22"/>
          <w:szCs w:val="22"/>
        </w:rPr>
        <w:t>(</w:t>
      </w:r>
      <w:r w:rsidR="00162AD3" w:rsidRPr="000D7ADE">
        <w:rPr>
          <w:rFonts w:ascii="Corbel" w:hAnsi="Corbel"/>
          <w:sz w:val="22"/>
          <w:szCs w:val="22"/>
        </w:rPr>
        <w:t>$</w:t>
      </w:r>
      <w:r w:rsidRPr="000D7ADE">
        <w:rPr>
          <w:rFonts w:ascii="Corbel" w:hAnsi="Corbel"/>
          <w:sz w:val="22"/>
          <w:szCs w:val="22"/>
        </w:rPr>
        <w:t>). The conversion rate used to do so was based on the</w:t>
      </w:r>
      <w:r w:rsidR="008501C9" w:rsidRPr="000D7ADE">
        <w:rPr>
          <w:rFonts w:ascii="Corbel" w:hAnsi="Corbel"/>
          <w:sz w:val="22"/>
          <w:szCs w:val="22"/>
        </w:rPr>
        <w:t xml:space="preserve"> average conversion rate of 201</w:t>
      </w:r>
      <w:r w:rsidR="00EC152C" w:rsidRPr="000D7ADE">
        <w:rPr>
          <w:rFonts w:ascii="Corbel" w:hAnsi="Corbel"/>
          <w:sz w:val="22"/>
          <w:szCs w:val="22"/>
        </w:rPr>
        <w:t>7</w:t>
      </w:r>
      <w:r w:rsidRPr="000D7ADE">
        <w:rPr>
          <w:rFonts w:ascii="Corbel" w:hAnsi="Corbel"/>
          <w:sz w:val="22"/>
          <w:szCs w:val="22"/>
        </w:rPr>
        <w:t xml:space="preserve"> as calculated by </w:t>
      </w:r>
      <w:hyperlink r:id="rId9" w:history="1">
        <w:r w:rsidRPr="000D7ADE">
          <w:rPr>
            <w:rStyle w:val="Hyperlink"/>
            <w:rFonts w:ascii="Corbel" w:hAnsi="Corbel"/>
            <w:sz w:val="22"/>
            <w:szCs w:val="22"/>
          </w:rPr>
          <w:t>http://www.oanda.com/currency/average</w:t>
        </w:r>
      </w:hyperlink>
      <w:r w:rsidR="00660900" w:rsidRPr="000D7ADE">
        <w:rPr>
          <w:rFonts w:ascii="Corbel" w:hAnsi="Corbel"/>
          <w:sz w:val="22"/>
          <w:szCs w:val="22"/>
        </w:rPr>
        <w:t xml:space="preserve"> and displayed in table 1.1.</w:t>
      </w:r>
    </w:p>
    <w:p w:rsidR="00AB225E" w:rsidRDefault="00AB225E" w:rsidP="00CD3E6A">
      <w:pPr>
        <w:spacing w:line="276" w:lineRule="auto"/>
        <w:jc w:val="both"/>
        <w:rPr>
          <w:rFonts w:ascii="Corbel" w:hAnsi="Corbel"/>
          <w:sz w:val="22"/>
          <w:szCs w:val="22"/>
        </w:rPr>
      </w:pP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AB225E" w:rsidTr="00E81441">
        <w:tc>
          <w:tcPr>
            <w:tcW w:w="1510" w:type="dxa"/>
          </w:tcPr>
          <w:p w:rsidR="00AB225E" w:rsidRDefault="00AB225E" w:rsidP="00AB225E">
            <w:pPr>
              <w:spacing w:line="276" w:lineRule="auto"/>
              <w:jc w:val="both"/>
              <w:rPr>
                <w:rFonts w:ascii="Corbel" w:hAnsi="Corbel"/>
                <w:sz w:val="22"/>
                <w:szCs w:val="22"/>
              </w:rPr>
            </w:pPr>
          </w:p>
        </w:tc>
        <w:tc>
          <w:tcPr>
            <w:tcW w:w="1510" w:type="dxa"/>
            <w:tcBorders>
              <w:top w:val="single" w:sz="4" w:space="0" w:color="auto"/>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2013</w:t>
            </w:r>
          </w:p>
        </w:tc>
        <w:tc>
          <w:tcPr>
            <w:tcW w:w="1510" w:type="dxa"/>
            <w:tcBorders>
              <w:top w:val="single" w:sz="4" w:space="0" w:color="auto"/>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2014</w:t>
            </w:r>
          </w:p>
        </w:tc>
        <w:tc>
          <w:tcPr>
            <w:tcW w:w="1510"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2015</w:t>
            </w:r>
          </w:p>
        </w:tc>
        <w:tc>
          <w:tcPr>
            <w:tcW w:w="1511"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2016</w:t>
            </w:r>
          </w:p>
        </w:tc>
        <w:tc>
          <w:tcPr>
            <w:tcW w:w="1511"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2017</w:t>
            </w:r>
          </w:p>
        </w:tc>
      </w:tr>
      <w:tr w:rsidR="00AB225E" w:rsidTr="009C40C6">
        <w:tc>
          <w:tcPr>
            <w:tcW w:w="1510" w:type="dxa"/>
            <w:tcBorders>
              <w:top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E</w:t>
            </w:r>
            <w:r>
              <w:rPr>
                <w:rFonts w:asciiTheme="minorHAnsi" w:hAnsiTheme="minorHAnsi" w:cstheme="minorHAnsi"/>
                <w:b/>
                <w:bCs/>
                <w:sz w:val="22"/>
                <w:szCs w:val="22"/>
              </w:rPr>
              <w:t>UR</w:t>
            </w:r>
          </w:p>
        </w:tc>
        <w:tc>
          <w:tcPr>
            <w:tcW w:w="1510"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1.32797</w:t>
            </w:r>
          </w:p>
        </w:tc>
        <w:tc>
          <w:tcPr>
            <w:tcW w:w="1510"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1.36329</w:t>
            </w:r>
          </w:p>
        </w:tc>
        <w:tc>
          <w:tcPr>
            <w:tcW w:w="1510"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1.11078</w:t>
            </w:r>
          </w:p>
        </w:tc>
        <w:tc>
          <w:tcPr>
            <w:tcW w:w="1511"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1.10675</w:t>
            </w:r>
          </w:p>
        </w:tc>
        <w:tc>
          <w:tcPr>
            <w:tcW w:w="1511" w:type="dxa"/>
            <w:tcBorders>
              <w:top w:val="single" w:sz="4" w:space="0" w:color="auto"/>
            </w:tcBorders>
          </w:tcPr>
          <w:p w:rsidR="00AB225E" w:rsidRPr="00151EE2" w:rsidRDefault="00AB225E" w:rsidP="00AB225E">
            <w:pPr>
              <w:jc w:val="right"/>
              <w:rPr>
                <w:rFonts w:asciiTheme="minorHAnsi" w:hAnsiTheme="minorHAnsi" w:cstheme="minorHAnsi"/>
                <w:sz w:val="22"/>
                <w:szCs w:val="22"/>
              </w:rPr>
            </w:pPr>
            <w:r w:rsidRPr="00151EE2">
              <w:rPr>
                <w:rFonts w:asciiTheme="minorHAnsi" w:hAnsiTheme="minorHAnsi" w:cstheme="minorHAnsi"/>
                <w:color w:val="000000"/>
                <w:sz w:val="22"/>
                <w:szCs w:val="22"/>
              </w:rPr>
              <w:t>1.129890</w:t>
            </w:r>
          </w:p>
        </w:tc>
      </w:tr>
      <w:tr w:rsidR="00AB225E" w:rsidTr="009C40C6">
        <w:tc>
          <w:tcPr>
            <w:tcW w:w="1510"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GBP</w:t>
            </w: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1.56431</w:t>
            </w: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1.64761</w:t>
            </w:r>
          </w:p>
        </w:tc>
        <w:tc>
          <w:tcPr>
            <w:tcW w:w="1510"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1.52916</w:t>
            </w:r>
          </w:p>
        </w:tc>
        <w:tc>
          <w:tcPr>
            <w:tcW w:w="1511"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1.35585</w:t>
            </w:r>
          </w:p>
        </w:tc>
        <w:tc>
          <w:tcPr>
            <w:tcW w:w="1511"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1.288505</w:t>
            </w:r>
          </w:p>
        </w:tc>
      </w:tr>
      <w:tr w:rsidR="00AB225E" w:rsidTr="009C40C6">
        <w:tc>
          <w:tcPr>
            <w:tcW w:w="1510"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HKD</w:t>
            </w: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0.12892</w:t>
            </w: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0.12895</w:t>
            </w:r>
          </w:p>
        </w:tc>
        <w:tc>
          <w:tcPr>
            <w:tcW w:w="1510"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0.12899</w:t>
            </w:r>
          </w:p>
        </w:tc>
        <w:tc>
          <w:tcPr>
            <w:tcW w:w="1511"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0.12882</w:t>
            </w:r>
          </w:p>
        </w:tc>
        <w:tc>
          <w:tcPr>
            <w:tcW w:w="1511"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0.128321</w:t>
            </w:r>
          </w:p>
        </w:tc>
      </w:tr>
      <w:tr w:rsidR="00AB225E" w:rsidTr="009C40C6">
        <w:tc>
          <w:tcPr>
            <w:tcW w:w="1510"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DKK</w:t>
            </w: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10"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10" w:type="dxa"/>
          </w:tcPr>
          <w:p w:rsidR="00AB225E" w:rsidRPr="00151EE2" w:rsidRDefault="00AB225E" w:rsidP="00AB225E">
            <w:pPr>
              <w:spacing w:line="276" w:lineRule="auto"/>
              <w:jc w:val="right"/>
              <w:rPr>
                <w:rFonts w:asciiTheme="minorHAnsi" w:hAnsiTheme="minorHAnsi" w:cstheme="minorHAnsi"/>
                <w:sz w:val="22"/>
                <w:szCs w:val="22"/>
              </w:rPr>
            </w:pPr>
          </w:p>
        </w:tc>
        <w:tc>
          <w:tcPr>
            <w:tcW w:w="1511" w:type="dxa"/>
          </w:tcPr>
          <w:p w:rsidR="00AB225E" w:rsidRPr="00151EE2" w:rsidRDefault="00AB225E" w:rsidP="00AB225E">
            <w:pPr>
              <w:spacing w:line="276" w:lineRule="auto"/>
              <w:jc w:val="right"/>
              <w:rPr>
                <w:rFonts w:asciiTheme="minorHAnsi" w:hAnsiTheme="minorHAnsi" w:cstheme="minorHAnsi"/>
                <w:sz w:val="22"/>
                <w:szCs w:val="22"/>
              </w:rPr>
            </w:pPr>
          </w:p>
        </w:tc>
        <w:tc>
          <w:tcPr>
            <w:tcW w:w="1511" w:type="dxa"/>
          </w:tcPr>
          <w:p w:rsidR="00AB225E" w:rsidRPr="00151EE2" w:rsidRDefault="00AB225E" w:rsidP="00AB225E">
            <w:pPr>
              <w:jc w:val="right"/>
              <w:rPr>
                <w:rFonts w:asciiTheme="minorHAnsi" w:hAnsiTheme="minorHAnsi" w:cstheme="minorHAnsi"/>
                <w:sz w:val="22"/>
                <w:szCs w:val="22"/>
              </w:rPr>
            </w:pPr>
            <w:r w:rsidRPr="00151EE2">
              <w:rPr>
                <w:rFonts w:asciiTheme="minorHAnsi" w:hAnsiTheme="minorHAnsi" w:cstheme="minorHAnsi"/>
                <w:color w:val="000000"/>
                <w:sz w:val="22"/>
                <w:szCs w:val="22"/>
              </w:rPr>
              <w:t>0.151877</w:t>
            </w:r>
          </w:p>
        </w:tc>
      </w:tr>
      <w:tr w:rsidR="00AB225E" w:rsidTr="009C40C6">
        <w:tc>
          <w:tcPr>
            <w:tcW w:w="1510" w:type="dxa"/>
            <w:tcBorders>
              <w:bottom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SEK</w:t>
            </w:r>
          </w:p>
        </w:tc>
        <w:tc>
          <w:tcPr>
            <w:tcW w:w="1510"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10"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10"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p>
        </w:tc>
        <w:tc>
          <w:tcPr>
            <w:tcW w:w="1511"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p>
        </w:tc>
        <w:tc>
          <w:tcPr>
            <w:tcW w:w="1511" w:type="dxa"/>
            <w:tcBorders>
              <w:bottom w:val="single" w:sz="4" w:space="0" w:color="auto"/>
            </w:tcBorders>
          </w:tcPr>
          <w:p w:rsidR="00AB225E" w:rsidRPr="00151EE2" w:rsidRDefault="00AB225E" w:rsidP="00AB225E">
            <w:pPr>
              <w:jc w:val="right"/>
              <w:rPr>
                <w:rFonts w:asciiTheme="minorHAnsi" w:hAnsiTheme="minorHAnsi" w:cstheme="minorHAnsi"/>
                <w:sz w:val="22"/>
                <w:szCs w:val="22"/>
              </w:rPr>
            </w:pPr>
            <w:r w:rsidRPr="00151EE2">
              <w:rPr>
                <w:rFonts w:asciiTheme="minorHAnsi" w:hAnsiTheme="minorHAnsi" w:cstheme="minorHAnsi"/>
                <w:color w:val="000000"/>
                <w:sz w:val="22"/>
                <w:szCs w:val="22"/>
              </w:rPr>
              <w:t>0.117177</w:t>
            </w:r>
          </w:p>
        </w:tc>
      </w:tr>
    </w:tbl>
    <w:p w:rsidR="00CD3E6A" w:rsidRDefault="00CD3E6A" w:rsidP="00AB225E">
      <w:pPr>
        <w:spacing w:line="276" w:lineRule="auto"/>
        <w:jc w:val="both"/>
        <w:rPr>
          <w:rFonts w:ascii="Corbel" w:hAnsi="Corbel"/>
          <w:i/>
          <w:iCs/>
          <w:sz w:val="22"/>
          <w:szCs w:val="22"/>
        </w:rPr>
      </w:pPr>
      <w:r w:rsidRPr="000D7ADE">
        <w:rPr>
          <w:rFonts w:ascii="Corbel" w:hAnsi="Corbel"/>
          <w:i/>
          <w:iCs/>
          <w:sz w:val="22"/>
          <w:szCs w:val="22"/>
        </w:rPr>
        <w:t>Table 1.</w:t>
      </w:r>
      <w:r w:rsidR="00952716">
        <w:rPr>
          <w:rFonts w:ascii="Corbel" w:hAnsi="Corbel"/>
          <w:i/>
          <w:iCs/>
          <w:sz w:val="22"/>
          <w:szCs w:val="22"/>
        </w:rPr>
        <w:t>1</w:t>
      </w:r>
      <w:r w:rsidRPr="000D7ADE">
        <w:rPr>
          <w:rFonts w:ascii="Corbel" w:hAnsi="Corbel"/>
          <w:i/>
          <w:iCs/>
          <w:sz w:val="22"/>
          <w:szCs w:val="22"/>
        </w:rPr>
        <w:t xml:space="preserve"> USD ($) </w:t>
      </w:r>
      <w:r w:rsidR="000D7ADE" w:rsidRPr="000D7ADE">
        <w:rPr>
          <w:rFonts w:ascii="Corbel" w:hAnsi="Corbel"/>
          <w:i/>
          <w:iCs/>
          <w:sz w:val="22"/>
          <w:szCs w:val="22"/>
        </w:rPr>
        <w:t xml:space="preserve">average </w:t>
      </w:r>
      <w:r w:rsidRPr="000D7ADE">
        <w:rPr>
          <w:rFonts w:ascii="Corbel" w:hAnsi="Corbel"/>
          <w:i/>
          <w:iCs/>
          <w:sz w:val="22"/>
          <w:szCs w:val="22"/>
        </w:rPr>
        <w:t>currency conversion rates used for the years 2013 (extracted 11-11-14), 2014 (extracted 03-11-15), 2015 (extracted 4-11-2016)</w:t>
      </w:r>
      <w:r w:rsidR="000D7ADE" w:rsidRPr="000D7ADE">
        <w:rPr>
          <w:rFonts w:ascii="Corbel" w:hAnsi="Corbel"/>
          <w:i/>
          <w:iCs/>
          <w:sz w:val="22"/>
          <w:szCs w:val="22"/>
        </w:rPr>
        <w:t xml:space="preserve">, </w:t>
      </w:r>
      <w:r w:rsidRPr="000D7ADE">
        <w:rPr>
          <w:rFonts w:ascii="Corbel" w:hAnsi="Corbel"/>
          <w:i/>
          <w:iCs/>
          <w:sz w:val="22"/>
          <w:szCs w:val="22"/>
        </w:rPr>
        <w:t>2016 (extracted 5-10-2017)</w:t>
      </w:r>
      <w:r w:rsidR="000D7ADE" w:rsidRPr="000D7ADE">
        <w:rPr>
          <w:rFonts w:ascii="Corbel" w:hAnsi="Corbel"/>
          <w:i/>
          <w:iCs/>
          <w:sz w:val="22"/>
          <w:szCs w:val="22"/>
        </w:rPr>
        <w:t xml:space="preserve"> and 2017 (extracted  </w:t>
      </w:r>
      <w:r w:rsidR="000D7ADE">
        <w:rPr>
          <w:rFonts w:ascii="Corbel" w:hAnsi="Corbel"/>
          <w:i/>
          <w:iCs/>
          <w:sz w:val="22"/>
          <w:szCs w:val="22"/>
        </w:rPr>
        <w:t>6-11-2018)</w:t>
      </w:r>
    </w:p>
    <w:p w:rsidR="00537BFE" w:rsidRPr="000D7ADE" w:rsidRDefault="00537BFE" w:rsidP="00CD3E6A">
      <w:pPr>
        <w:spacing w:line="276" w:lineRule="auto"/>
        <w:jc w:val="both"/>
        <w:rPr>
          <w:rFonts w:ascii="Corbel" w:hAnsi="Corbel"/>
          <w:i/>
          <w:iCs/>
          <w:sz w:val="22"/>
          <w:szCs w:val="22"/>
        </w:rPr>
      </w:pPr>
    </w:p>
    <w:p w:rsidR="00AB225E" w:rsidRDefault="00CD3E6A" w:rsidP="00CD3E6A">
      <w:pPr>
        <w:spacing w:line="276" w:lineRule="auto"/>
        <w:rPr>
          <w:rFonts w:ascii="Corbel" w:hAnsi="Corbel"/>
          <w:iCs/>
          <w:sz w:val="22"/>
          <w:szCs w:val="22"/>
        </w:rPr>
      </w:pPr>
      <w:r w:rsidRPr="000D7ADE">
        <w:rPr>
          <w:rFonts w:ascii="Corbel" w:hAnsi="Corbel"/>
          <w:iCs/>
          <w:sz w:val="22"/>
          <w:szCs w:val="22"/>
        </w:rPr>
        <w:t>We also provided rankings based on Euro (€), for which the following conversion rates were used.</w:t>
      </w:r>
    </w:p>
    <w:tbl>
      <w:tblPr>
        <w:tblStyle w:val="TableGrid"/>
        <w:tblW w:w="0" w:type="auto"/>
        <w:tblLook w:val="04A0" w:firstRow="1" w:lastRow="0" w:firstColumn="1" w:lastColumn="0" w:noHBand="0" w:noVBand="1"/>
      </w:tblPr>
      <w:tblGrid>
        <w:gridCol w:w="1442"/>
        <w:gridCol w:w="1544"/>
        <w:gridCol w:w="1544"/>
        <w:gridCol w:w="1545"/>
        <w:gridCol w:w="1545"/>
        <w:gridCol w:w="1442"/>
      </w:tblGrid>
      <w:tr w:rsidR="00AB225E" w:rsidTr="00AB225E">
        <w:tc>
          <w:tcPr>
            <w:tcW w:w="1442" w:type="dxa"/>
          </w:tcPr>
          <w:p w:rsidR="00AB225E" w:rsidRDefault="00AB225E" w:rsidP="00AB225E">
            <w:pPr>
              <w:spacing w:line="276" w:lineRule="auto"/>
              <w:rPr>
                <w:rFonts w:ascii="Corbel" w:hAnsi="Corbel"/>
                <w:iCs/>
                <w:sz w:val="22"/>
                <w:szCs w:val="22"/>
              </w:rPr>
            </w:pPr>
          </w:p>
        </w:tc>
        <w:tc>
          <w:tcPr>
            <w:tcW w:w="1544" w:type="dxa"/>
            <w:tcBorders>
              <w:top w:val="single" w:sz="4" w:space="0" w:color="auto"/>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2013</w:t>
            </w:r>
          </w:p>
        </w:tc>
        <w:tc>
          <w:tcPr>
            <w:tcW w:w="1544" w:type="dxa"/>
            <w:tcBorders>
              <w:top w:val="single" w:sz="4" w:space="0" w:color="auto"/>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2014</w:t>
            </w:r>
          </w:p>
        </w:tc>
        <w:tc>
          <w:tcPr>
            <w:tcW w:w="1545"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2015</w:t>
            </w:r>
          </w:p>
        </w:tc>
        <w:tc>
          <w:tcPr>
            <w:tcW w:w="1545"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sidRPr="00151EE2">
              <w:rPr>
                <w:rFonts w:asciiTheme="minorHAnsi" w:hAnsiTheme="minorHAnsi" w:cstheme="minorHAnsi"/>
                <w:b/>
                <w:bCs/>
                <w:sz w:val="22"/>
                <w:szCs w:val="22"/>
              </w:rPr>
              <w:t>2016</w:t>
            </w:r>
          </w:p>
        </w:tc>
        <w:tc>
          <w:tcPr>
            <w:tcW w:w="1442" w:type="dxa"/>
            <w:tcBorders>
              <w:top w:val="single" w:sz="4" w:space="0" w:color="auto"/>
              <w:bottom w:val="single" w:sz="4" w:space="0" w:color="auto"/>
            </w:tcBorders>
          </w:tcPr>
          <w:p w:rsidR="00AB225E" w:rsidRPr="00151EE2" w:rsidRDefault="00AB225E" w:rsidP="00AB225E">
            <w:pPr>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2017</w:t>
            </w:r>
          </w:p>
        </w:tc>
      </w:tr>
      <w:tr w:rsidR="00AB225E" w:rsidTr="00875786">
        <w:tc>
          <w:tcPr>
            <w:tcW w:w="1442" w:type="dxa"/>
            <w:tcBorders>
              <w:top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Pr>
                <w:rFonts w:asciiTheme="minorHAnsi" w:hAnsiTheme="minorHAnsi" w:cstheme="minorHAnsi"/>
                <w:b/>
                <w:bCs/>
                <w:sz w:val="22"/>
                <w:szCs w:val="22"/>
              </w:rPr>
              <w:t>USD</w:t>
            </w:r>
          </w:p>
        </w:tc>
        <w:tc>
          <w:tcPr>
            <w:tcW w:w="1544"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0.75316</w:t>
            </w:r>
          </w:p>
        </w:tc>
        <w:tc>
          <w:tcPr>
            <w:tcW w:w="1544"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0.75354</w:t>
            </w:r>
          </w:p>
        </w:tc>
        <w:tc>
          <w:tcPr>
            <w:tcW w:w="1545"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0.90121</w:t>
            </w:r>
          </w:p>
        </w:tc>
        <w:tc>
          <w:tcPr>
            <w:tcW w:w="1545"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0.90372</w:t>
            </w:r>
          </w:p>
        </w:tc>
        <w:tc>
          <w:tcPr>
            <w:tcW w:w="1442" w:type="dxa"/>
            <w:tcBorders>
              <w:top w:val="single" w:sz="4" w:space="0" w:color="auto"/>
            </w:tcBorders>
          </w:tcPr>
          <w:p w:rsidR="00AB225E" w:rsidRPr="00151EE2" w:rsidRDefault="00AB225E" w:rsidP="00AB225E">
            <w:pPr>
              <w:jc w:val="right"/>
              <w:rPr>
                <w:rFonts w:asciiTheme="minorHAnsi" w:hAnsiTheme="minorHAnsi" w:cstheme="minorHAnsi"/>
                <w:sz w:val="22"/>
                <w:szCs w:val="22"/>
              </w:rPr>
            </w:pPr>
            <w:r>
              <w:rPr>
                <w:rFonts w:ascii="Calibri" w:hAnsi="Calibri" w:cs="Calibri"/>
                <w:color w:val="000000"/>
                <w:sz w:val="22"/>
                <w:szCs w:val="22"/>
              </w:rPr>
              <w:t>0,886668</w:t>
            </w:r>
          </w:p>
        </w:tc>
      </w:tr>
      <w:tr w:rsidR="00AB225E" w:rsidTr="00875786">
        <w:tc>
          <w:tcPr>
            <w:tcW w:w="1442"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GBP</w:t>
            </w: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1.17772</w:t>
            </w: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1.24040</w:t>
            </w: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1.37766</w:t>
            </w: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1.22448</w:t>
            </w:r>
          </w:p>
        </w:tc>
        <w:tc>
          <w:tcPr>
            <w:tcW w:w="1442" w:type="dxa"/>
          </w:tcPr>
          <w:p w:rsidR="00AB225E" w:rsidRPr="00151EE2" w:rsidRDefault="00AB225E" w:rsidP="00AB225E">
            <w:pPr>
              <w:jc w:val="right"/>
              <w:rPr>
                <w:rFonts w:asciiTheme="minorHAnsi" w:hAnsiTheme="minorHAnsi" w:cstheme="minorHAnsi"/>
                <w:sz w:val="22"/>
                <w:szCs w:val="22"/>
              </w:rPr>
            </w:pPr>
            <w:r>
              <w:rPr>
                <w:rFonts w:ascii="Calibri" w:hAnsi="Calibri" w:cs="Calibri"/>
                <w:color w:val="000000"/>
                <w:sz w:val="22"/>
                <w:szCs w:val="22"/>
              </w:rPr>
              <w:t>1,141195</w:t>
            </w:r>
          </w:p>
        </w:tc>
      </w:tr>
      <w:tr w:rsidR="00AB225E" w:rsidTr="00875786">
        <w:tc>
          <w:tcPr>
            <w:tcW w:w="1442"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HK</w:t>
            </w:r>
            <w:r>
              <w:rPr>
                <w:rFonts w:asciiTheme="minorHAnsi" w:hAnsiTheme="minorHAnsi" w:cstheme="minorHAnsi"/>
                <w:b/>
                <w:bCs/>
                <w:sz w:val="22"/>
                <w:szCs w:val="22"/>
              </w:rPr>
              <w:t>D</w:t>
            </w: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0.09702</w:t>
            </w: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0.09709</w:t>
            </w: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0.11626</w:t>
            </w: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0.11643</w:t>
            </w:r>
          </w:p>
        </w:tc>
        <w:tc>
          <w:tcPr>
            <w:tcW w:w="1442" w:type="dxa"/>
          </w:tcPr>
          <w:p w:rsidR="00AB225E" w:rsidRPr="00151EE2" w:rsidRDefault="00AB225E" w:rsidP="00AB225E">
            <w:pPr>
              <w:jc w:val="right"/>
              <w:rPr>
                <w:rFonts w:asciiTheme="minorHAnsi" w:hAnsiTheme="minorHAnsi" w:cstheme="minorHAnsi"/>
                <w:sz w:val="22"/>
                <w:szCs w:val="22"/>
              </w:rPr>
            </w:pPr>
            <w:r>
              <w:rPr>
                <w:rFonts w:ascii="Calibri" w:hAnsi="Calibri" w:cs="Calibri"/>
                <w:color w:val="000000"/>
                <w:sz w:val="22"/>
                <w:szCs w:val="22"/>
              </w:rPr>
              <w:t>0,113784</w:t>
            </w:r>
          </w:p>
        </w:tc>
      </w:tr>
      <w:tr w:rsidR="00AB225E" w:rsidTr="00875786">
        <w:tc>
          <w:tcPr>
            <w:tcW w:w="1442"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Pr>
                <w:rFonts w:asciiTheme="minorHAnsi" w:hAnsiTheme="minorHAnsi" w:cstheme="minorHAnsi"/>
                <w:b/>
                <w:bCs/>
                <w:sz w:val="22"/>
                <w:szCs w:val="22"/>
              </w:rPr>
              <w:t>DKK</w:t>
            </w: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44"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p>
        </w:tc>
        <w:tc>
          <w:tcPr>
            <w:tcW w:w="1545" w:type="dxa"/>
          </w:tcPr>
          <w:p w:rsidR="00AB225E" w:rsidRPr="00151EE2" w:rsidRDefault="00AB225E" w:rsidP="00AB225E">
            <w:pPr>
              <w:spacing w:line="276" w:lineRule="auto"/>
              <w:jc w:val="right"/>
              <w:rPr>
                <w:rFonts w:asciiTheme="minorHAnsi" w:hAnsiTheme="minorHAnsi" w:cstheme="minorHAnsi"/>
                <w:sz w:val="22"/>
                <w:szCs w:val="22"/>
              </w:rPr>
            </w:pPr>
          </w:p>
        </w:tc>
        <w:tc>
          <w:tcPr>
            <w:tcW w:w="1442" w:type="dxa"/>
          </w:tcPr>
          <w:p w:rsidR="00AB225E" w:rsidRDefault="00AB225E" w:rsidP="00AB225E">
            <w:pPr>
              <w:jc w:val="right"/>
              <w:rPr>
                <w:rFonts w:ascii="Calibri" w:hAnsi="Calibri" w:cs="Calibri"/>
                <w:color w:val="000000"/>
                <w:sz w:val="22"/>
                <w:szCs w:val="22"/>
              </w:rPr>
            </w:pPr>
            <w:r>
              <w:rPr>
                <w:rFonts w:ascii="Calibri" w:hAnsi="Calibri" w:cs="Calibri"/>
                <w:color w:val="000000"/>
                <w:sz w:val="22"/>
                <w:szCs w:val="22"/>
              </w:rPr>
              <w:t>0,134420</w:t>
            </w:r>
          </w:p>
        </w:tc>
      </w:tr>
      <w:tr w:rsidR="00AB225E" w:rsidTr="00875786">
        <w:tc>
          <w:tcPr>
            <w:tcW w:w="1442" w:type="dxa"/>
            <w:tcBorders>
              <w:bottom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Pr>
                <w:rFonts w:asciiTheme="minorHAnsi" w:hAnsiTheme="minorHAnsi" w:cstheme="minorHAnsi"/>
                <w:b/>
                <w:bCs/>
                <w:sz w:val="22"/>
                <w:szCs w:val="22"/>
              </w:rPr>
              <w:t>SEK</w:t>
            </w:r>
          </w:p>
        </w:tc>
        <w:tc>
          <w:tcPr>
            <w:tcW w:w="1544"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44"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p>
        </w:tc>
        <w:tc>
          <w:tcPr>
            <w:tcW w:w="1545"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p>
        </w:tc>
        <w:tc>
          <w:tcPr>
            <w:tcW w:w="1545"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p>
        </w:tc>
        <w:tc>
          <w:tcPr>
            <w:tcW w:w="1442" w:type="dxa"/>
            <w:tcBorders>
              <w:bottom w:val="single" w:sz="4" w:space="0" w:color="auto"/>
            </w:tcBorders>
          </w:tcPr>
          <w:p w:rsidR="00AB225E" w:rsidRDefault="00AB225E" w:rsidP="00AB225E">
            <w:pPr>
              <w:jc w:val="right"/>
              <w:rPr>
                <w:rFonts w:ascii="Calibri" w:hAnsi="Calibri" w:cs="Calibri"/>
                <w:color w:val="000000"/>
                <w:sz w:val="22"/>
                <w:szCs w:val="22"/>
              </w:rPr>
            </w:pPr>
            <w:r>
              <w:rPr>
                <w:rFonts w:ascii="Calibri" w:hAnsi="Calibri" w:cs="Calibri"/>
                <w:color w:val="000000"/>
                <w:sz w:val="22"/>
                <w:szCs w:val="22"/>
              </w:rPr>
              <w:t>0,103733</w:t>
            </w:r>
          </w:p>
        </w:tc>
      </w:tr>
    </w:tbl>
    <w:p w:rsidR="004A19AE" w:rsidRDefault="00C6518B" w:rsidP="004551D0">
      <w:pPr>
        <w:spacing w:line="276" w:lineRule="auto"/>
        <w:rPr>
          <w:rFonts w:ascii="Corbel" w:hAnsi="Corbel"/>
          <w:i/>
          <w:iCs/>
          <w:sz w:val="22"/>
          <w:szCs w:val="22"/>
        </w:rPr>
      </w:pPr>
      <w:r w:rsidRPr="000D7ADE">
        <w:rPr>
          <w:rFonts w:ascii="Corbel" w:hAnsi="Corbel"/>
          <w:i/>
          <w:iCs/>
          <w:sz w:val="22"/>
          <w:szCs w:val="22"/>
        </w:rPr>
        <w:t>Table 1.</w:t>
      </w:r>
      <w:r w:rsidR="00952716">
        <w:rPr>
          <w:rFonts w:ascii="Corbel" w:hAnsi="Corbel"/>
          <w:i/>
          <w:iCs/>
          <w:sz w:val="22"/>
          <w:szCs w:val="22"/>
        </w:rPr>
        <w:t>2</w:t>
      </w:r>
      <w:r w:rsidR="00537BFE" w:rsidRPr="000D7ADE">
        <w:rPr>
          <w:rFonts w:ascii="Corbel" w:hAnsi="Corbel"/>
          <w:i/>
          <w:iCs/>
          <w:sz w:val="22"/>
          <w:szCs w:val="22"/>
        </w:rPr>
        <w:t xml:space="preserve"> Euro (€) currency conversion rates used for the years 2013 (extracted 11-11-14) </w:t>
      </w:r>
      <w:r w:rsidR="005D5A4D" w:rsidRPr="000D7ADE">
        <w:rPr>
          <w:rFonts w:ascii="Corbel" w:hAnsi="Corbel"/>
          <w:i/>
          <w:iCs/>
          <w:sz w:val="22"/>
          <w:szCs w:val="22"/>
        </w:rPr>
        <w:t xml:space="preserve">, </w:t>
      </w:r>
      <w:r w:rsidR="00537BFE" w:rsidRPr="000D7ADE">
        <w:rPr>
          <w:rFonts w:ascii="Corbel" w:hAnsi="Corbel"/>
          <w:i/>
          <w:iCs/>
          <w:sz w:val="22"/>
          <w:szCs w:val="22"/>
        </w:rPr>
        <w:t>2014 (extracted 03-11-15)</w:t>
      </w:r>
      <w:r w:rsidR="00357AE9" w:rsidRPr="000D7ADE">
        <w:rPr>
          <w:rFonts w:ascii="Corbel" w:hAnsi="Corbel"/>
          <w:i/>
          <w:iCs/>
          <w:sz w:val="22"/>
          <w:szCs w:val="22"/>
        </w:rPr>
        <w:t>, 2015 (extracted 4-11-2016)</w:t>
      </w:r>
      <w:r w:rsidR="00151EE2">
        <w:rPr>
          <w:rFonts w:ascii="Corbel" w:hAnsi="Corbel"/>
          <w:i/>
          <w:iCs/>
          <w:sz w:val="22"/>
          <w:szCs w:val="22"/>
        </w:rPr>
        <w:t xml:space="preserve">, </w:t>
      </w:r>
      <w:r w:rsidR="00357AE9" w:rsidRPr="000D7ADE">
        <w:rPr>
          <w:rFonts w:ascii="Corbel" w:hAnsi="Corbel"/>
          <w:i/>
          <w:iCs/>
          <w:sz w:val="22"/>
          <w:szCs w:val="22"/>
        </w:rPr>
        <w:t>2016 (extracted 5-10-2017)</w:t>
      </w:r>
      <w:r w:rsidR="00151EE2">
        <w:rPr>
          <w:rFonts w:ascii="Corbel" w:hAnsi="Corbel"/>
          <w:i/>
          <w:iCs/>
          <w:sz w:val="22"/>
          <w:szCs w:val="22"/>
        </w:rPr>
        <w:t xml:space="preserve"> and 2017 (</w:t>
      </w:r>
      <w:r w:rsidR="004A19AE">
        <w:rPr>
          <w:rFonts w:ascii="Corbel" w:hAnsi="Corbel"/>
          <w:i/>
          <w:iCs/>
          <w:sz w:val="22"/>
          <w:szCs w:val="22"/>
        </w:rPr>
        <w:t xml:space="preserve">extracted </w:t>
      </w:r>
      <w:r w:rsidR="00151EE2">
        <w:rPr>
          <w:rFonts w:ascii="Corbel" w:hAnsi="Corbel"/>
          <w:i/>
          <w:iCs/>
          <w:sz w:val="22"/>
          <w:szCs w:val="22"/>
        </w:rPr>
        <w:t>6-11-2018)</w:t>
      </w:r>
    </w:p>
    <w:p w:rsidR="004A19AE" w:rsidRDefault="004A19AE" w:rsidP="004A19AE">
      <w:pPr>
        <w:spacing w:line="276" w:lineRule="auto"/>
        <w:jc w:val="both"/>
        <w:rPr>
          <w:rFonts w:ascii="Corbel" w:hAnsi="Corbel"/>
          <w:sz w:val="22"/>
          <w:szCs w:val="22"/>
        </w:rPr>
      </w:pPr>
    </w:p>
    <w:p w:rsidR="00AB225E" w:rsidRDefault="00AB225E" w:rsidP="004A19AE">
      <w:pPr>
        <w:spacing w:line="276" w:lineRule="auto"/>
        <w:jc w:val="both"/>
        <w:rPr>
          <w:rFonts w:ascii="Corbel" w:hAnsi="Corbel"/>
          <w:sz w:val="22"/>
          <w:szCs w:val="22"/>
        </w:rPr>
      </w:pPr>
    </w:p>
    <w:p w:rsidR="00AB225E" w:rsidRDefault="00AB225E" w:rsidP="004A19AE">
      <w:pPr>
        <w:spacing w:line="276" w:lineRule="auto"/>
        <w:jc w:val="both"/>
        <w:rPr>
          <w:rFonts w:ascii="Corbel" w:hAnsi="Corbel"/>
          <w:sz w:val="22"/>
          <w:szCs w:val="22"/>
        </w:rPr>
      </w:pPr>
    </w:p>
    <w:p w:rsidR="00AB225E" w:rsidRDefault="00AB225E" w:rsidP="004A19AE">
      <w:pPr>
        <w:spacing w:line="276" w:lineRule="auto"/>
        <w:jc w:val="both"/>
        <w:rPr>
          <w:rFonts w:ascii="Corbel" w:hAnsi="Corbel"/>
          <w:sz w:val="22"/>
          <w:szCs w:val="22"/>
        </w:rPr>
      </w:pPr>
    </w:p>
    <w:p w:rsidR="004A19AE" w:rsidRDefault="004A19AE" w:rsidP="004A19AE">
      <w:pPr>
        <w:spacing w:line="276" w:lineRule="auto"/>
        <w:jc w:val="both"/>
        <w:rPr>
          <w:rFonts w:ascii="Corbel" w:hAnsi="Corbel"/>
          <w:sz w:val="22"/>
          <w:szCs w:val="22"/>
        </w:rPr>
      </w:pPr>
      <w:r w:rsidRPr="000D7ADE">
        <w:rPr>
          <w:rFonts w:ascii="Corbel" w:hAnsi="Corbel"/>
          <w:sz w:val="22"/>
          <w:szCs w:val="22"/>
        </w:rPr>
        <w:lastRenderedPageBreak/>
        <w:t xml:space="preserve">Previous rankings (2013-2016) were based on GBP, for which the following conversion rates were used.  </w:t>
      </w:r>
    </w:p>
    <w:tbl>
      <w:tblPr>
        <w:tblStyle w:val="TableGrid"/>
        <w:tblW w:w="0" w:type="auto"/>
        <w:tblLook w:val="04A0" w:firstRow="1" w:lastRow="0" w:firstColumn="1" w:lastColumn="0" w:noHBand="0" w:noVBand="1"/>
      </w:tblPr>
      <w:tblGrid>
        <w:gridCol w:w="1812"/>
        <w:gridCol w:w="1812"/>
        <w:gridCol w:w="1812"/>
        <w:gridCol w:w="1813"/>
        <w:gridCol w:w="1813"/>
      </w:tblGrid>
      <w:tr w:rsidR="00AB225E" w:rsidTr="00AB225E">
        <w:tc>
          <w:tcPr>
            <w:tcW w:w="1812" w:type="dxa"/>
          </w:tcPr>
          <w:p w:rsidR="00AB225E" w:rsidRPr="00AB225E" w:rsidRDefault="00AB225E" w:rsidP="00AB225E">
            <w:pPr>
              <w:spacing w:line="276" w:lineRule="auto"/>
              <w:jc w:val="right"/>
              <w:rPr>
                <w:rFonts w:asciiTheme="minorHAnsi" w:hAnsiTheme="minorHAnsi" w:cstheme="minorHAnsi"/>
                <w:sz w:val="22"/>
                <w:szCs w:val="22"/>
              </w:rPr>
            </w:pPr>
          </w:p>
        </w:tc>
        <w:tc>
          <w:tcPr>
            <w:tcW w:w="1812" w:type="dxa"/>
          </w:tcPr>
          <w:p w:rsidR="00AB225E" w:rsidRPr="00AB225E" w:rsidRDefault="00AB225E" w:rsidP="00AB225E">
            <w:pPr>
              <w:jc w:val="right"/>
              <w:rPr>
                <w:rFonts w:asciiTheme="minorHAnsi" w:hAnsiTheme="minorHAnsi" w:cstheme="minorHAnsi"/>
                <w:b/>
                <w:sz w:val="22"/>
              </w:rPr>
            </w:pPr>
            <w:r w:rsidRPr="00AB225E">
              <w:rPr>
                <w:rFonts w:asciiTheme="minorHAnsi" w:hAnsiTheme="minorHAnsi" w:cstheme="minorHAnsi"/>
                <w:b/>
                <w:sz w:val="22"/>
              </w:rPr>
              <w:t>2013</w:t>
            </w:r>
          </w:p>
        </w:tc>
        <w:tc>
          <w:tcPr>
            <w:tcW w:w="1812" w:type="dxa"/>
          </w:tcPr>
          <w:p w:rsidR="00AB225E" w:rsidRPr="00AB225E" w:rsidRDefault="00AB225E" w:rsidP="00AB225E">
            <w:pPr>
              <w:jc w:val="right"/>
              <w:rPr>
                <w:rFonts w:asciiTheme="minorHAnsi" w:hAnsiTheme="minorHAnsi" w:cstheme="minorHAnsi"/>
                <w:b/>
                <w:sz w:val="22"/>
              </w:rPr>
            </w:pPr>
            <w:r w:rsidRPr="00AB225E">
              <w:rPr>
                <w:rFonts w:asciiTheme="minorHAnsi" w:hAnsiTheme="minorHAnsi" w:cstheme="minorHAnsi"/>
                <w:b/>
                <w:sz w:val="22"/>
              </w:rPr>
              <w:t>2014</w:t>
            </w:r>
          </w:p>
        </w:tc>
        <w:tc>
          <w:tcPr>
            <w:tcW w:w="1813" w:type="dxa"/>
          </w:tcPr>
          <w:p w:rsidR="00AB225E" w:rsidRPr="00AB225E" w:rsidRDefault="00AB225E" w:rsidP="00AB225E">
            <w:pPr>
              <w:jc w:val="right"/>
              <w:rPr>
                <w:rFonts w:asciiTheme="minorHAnsi" w:hAnsiTheme="minorHAnsi" w:cstheme="minorHAnsi"/>
                <w:b/>
                <w:sz w:val="22"/>
              </w:rPr>
            </w:pPr>
            <w:r w:rsidRPr="00AB225E">
              <w:rPr>
                <w:rFonts w:asciiTheme="minorHAnsi" w:hAnsiTheme="minorHAnsi" w:cstheme="minorHAnsi"/>
                <w:b/>
                <w:sz w:val="22"/>
              </w:rPr>
              <w:t>2015</w:t>
            </w:r>
          </w:p>
        </w:tc>
        <w:tc>
          <w:tcPr>
            <w:tcW w:w="1813" w:type="dxa"/>
          </w:tcPr>
          <w:p w:rsidR="00AB225E" w:rsidRPr="00AB225E" w:rsidRDefault="00AB225E" w:rsidP="00AB225E">
            <w:pPr>
              <w:jc w:val="right"/>
              <w:rPr>
                <w:rFonts w:asciiTheme="minorHAnsi" w:hAnsiTheme="minorHAnsi" w:cstheme="minorHAnsi"/>
                <w:b/>
                <w:sz w:val="22"/>
              </w:rPr>
            </w:pPr>
            <w:r w:rsidRPr="00AB225E">
              <w:rPr>
                <w:rFonts w:asciiTheme="minorHAnsi" w:hAnsiTheme="minorHAnsi" w:cstheme="minorHAnsi"/>
                <w:b/>
                <w:sz w:val="22"/>
              </w:rPr>
              <w:t>2016</w:t>
            </w:r>
          </w:p>
        </w:tc>
      </w:tr>
      <w:tr w:rsidR="00AB225E" w:rsidTr="00D66002">
        <w:tc>
          <w:tcPr>
            <w:tcW w:w="1812" w:type="dxa"/>
            <w:tcBorders>
              <w:top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E</w:t>
            </w:r>
            <w:r>
              <w:rPr>
                <w:rFonts w:asciiTheme="minorHAnsi" w:hAnsiTheme="minorHAnsi" w:cstheme="minorHAnsi"/>
                <w:b/>
                <w:bCs/>
                <w:sz w:val="22"/>
                <w:szCs w:val="22"/>
              </w:rPr>
              <w:t>UR</w:t>
            </w:r>
          </w:p>
        </w:tc>
        <w:tc>
          <w:tcPr>
            <w:tcW w:w="1812"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0.84893</w:t>
            </w:r>
          </w:p>
        </w:tc>
        <w:tc>
          <w:tcPr>
            <w:tcW w:w="1812" w:type="dxa"/>
            <w:tcBorders>
              <w:top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0.80624</w:t>
            </w:r>
          </w:p>
        </w:tc>
        <w:tc>
          <w:tcPr>
            <w:tcW w:w="1813"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0.72671</w:t>
            </w:r>
          </w:p>
        </w:tc>
        <w:tc>
          <w:tcPr>
            <w:tcW w:w="1813" w:type="dxa"/>
            <w:tcBorders>
              <w:top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0.81864</w:t>
            </w:r>
          </w:p>
        </w:tc>
      </w:tr>
      <w:tr w:rsidR="00AB225E" w:rsidTr="00D66002">
        <w:tc>
          <w:tcPr>
            <w:tcW w:w="1812" w:type="dxa"/>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USD</w:t>
            </w:r>
          </w:p>
        </w:tc>
        <w:tc>
          <w:tcPr>
            <w:tcW w:w="1812"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0.63953</w:t>
            </w:r>
          </w:p>
        </w:tc>
        <w:tc>
          <w:tcPr>
            <w:tcW w:w="1812" w:type="dxa"/>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0.60720</w:t>
            </w:r>
          </w:p>
        </w:tc>
        <w:tc>
          <w:tcPr>
            <w:tcW w:w="1813"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0.65442</w:t>
            </w:r>
          </w:p>
        </w:tc>
        <w:tc>
          <w:tcPr>
            <w:tcW w:w="1813" w:type="dxa"/>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0.74017</w:t>
            </w:r>
          </w:p>
        </w:tc>
      </w:tr>
      <w:tr w:rsidR="00AB225E" w:rsidTr="00D66002">
        <w:tc>
          <w:tcPr>
            <w:tcW w:w="1812" w:type="dxa"/>
            <w:tcBorders>
              <w:bottom w:val="single" w:sz="4" w:space="0" w:color="auto"/>
            </w:tcBorders>
            <w:shd w:val="clear" w:color="auto" w:fill="auto"/>
          </w:tcPr>
          <w:p w:rsidR="00AB225E" w:rsidRPr="00151EE2" w:rsidRDefault="00AB225E" w:rsidP="00AB225E">
            <w:pPr>
              <w:spacing w:line="276" w:lineRule="auto"/>
              <w:rPr>
                <w:rFonts w:asciiTheme="minorHAnsi" w:hAnsiTheme="minorHAnsi" w:cstheme="minorHAnsi"/>
                <w:b/>
                <w:bCs/>
                <w:sz w:val="22"/>
                <w:szCs w:val="22"/>
              </w:rPr>
            </w:pPr>
            <w:r w:rsidRPr="00151EE2">
              <w:rPr>
                <w:rFonts w:asciiTheme="minorHAnsi" w:hAnsiTheme="minorHAnsi" w:cstheme="minorHAnsi"/>
                <w:b/>
                <w:bCs/>
                <w:sz w:val="22"/>
                <w:szCs w:val="22"/>
              </w:rPr>
              <w:t>HK</w:t>
            </w:r>
            <w:r>
              <w:rPr>
                <w:rFonts w:asciiTheme="minorHAnsi" w:hAnsiTheme="minorHAnsi" w:cstheme="minorHAnsi"/>
                <w:b/>
                <w:bCs/>
                <w:sz w:val="22"/>
                <w:szCs w:val="22"/>
              </w:rPr>
              <w:t>D</w:t>
            </w:r>
          </w:p>
        </w:tc>
        <w:tc>
          <w:tcPr>
            <w:tcW w:w="1812"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0.08245</w:t>
            </w:r>
          </w:p>
        </w:tc>
        <w:tc>
          <w:tcPr>
            <w:tcW w:w="1812" w:type="dxa"/>
            <w:tcBorders>
              <w:bottom w:val="single" w:sz="4" w:space="0" w:color="auto"/>
            </w:tcBorders>
            <w:shd w:val="clear" w:color="auto" w:fill="auto"/>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0.07830</w:t>
            </w:r>
          </w:p>
        </w:tc>
        <w:tc>
          <w:tcPr>
            <w:tcW w:w="1813"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0.08442</w:t>
            </w:r>
          </w:p>
        </w:tc>
        <w:tc>
          <w:tcPr>
            <w:tcW w:w="1813" w:type="dxa"/>
            <w:tcBorders>
              <w:bottom w:val="single" w:sz="4" w:space="0" w:color="auto"/>
            </w:tcBorders>
          </w:tcPr>
          <w:p w:rsidR="00AB225E" w:rsidRPr="00151EE2" w:rsidRDefault="00AB225E" w:rsidP="00AB225E">
            <w:pPr>
              <w:spacing w:line="276" w:lineRule="auto"/>
              <w:jc w:val="right"/>
              <w:rPr>
                <w:rFonts w:asciiTheme="minorHAnsi" w:hAnsiTheme="minorHAnsi" w:cstheme="minorHAnsi"/>
                <w:sz w:val="22"/>
                <w:szCs w:val="22"/>
              </w:rPr>
            </w:pPr>
            <w:r w:rsidRPr="00151EE2">
              <w:rPr>
                <w:rFonts w:asciiTheme="minorHAnsi" w:hAnsiTheme="minorHAnsi" w:cstheme="minorHAnsi"/>
                <w:sz w:val="22"/>
                <w:szCs w:val="22"/>
              </w:rPr>
              <w:t>0.09535</w:t>
            </w:r>
          </w:p>
        </w:tc>
      </w:tr>
    </w:tbl>
    <w:p w:rsidR="004A19AE" w:rsidRPr="000D7ADE" w:rsidRDefault="004A19AE" w:rsidP="004A19AE">
      <w:pPr>
        <w:spacing w:line="276" w:lineRule="auto"/>
        <w:rPr>
          <w:rFonts w:ascii="Corbel" w:hAnsi="Corbel"/>
          <w:i/>
          <w:iCs/>
          <w:sz w:val="22"/>
          <w:szCs w:val="22"/>
        </w:rPr>
      </w:pPr>
      <w:r w:rsidRPr="000D7ADE">
        <w:rPr>
          <w:rFonts w:ascii="Corbel" w:hAnsi="Corbel"/>
          <w:i/>
          <w:iCs/>
          <w:sz w:val="22"/>
          <w:szCs w:val="22"/>
        </w:rPr>
        <w:t>Table 1.</w:t>
      </w:r>
      <w:r w:rsidR="00952716">
        <w:rPr>
          <w:rFonts w:ascii="Corbel" w:hAnsi="Corbel"/>
          <w:i/>
          <w:iCs/>
          <w:sz w:val="22"/>
          <w:szCs w:val="22"/>
        </w:rPr>
        <w:t>3</w:t>
      </w:r>
      <w:r w:rsidRPr="000D7ADE">
        <w:rPr>
          <w:rFonts w:ascii="Corbel" w:hAnsi="Corbel"/>
          <w:i/>
          <w:iCs/>
          <w:sz w:val="22"/>
          <w:szCs w:val="22"/>
        </w:rPr>
        <w:t xml:space="preserve"> GBP </w:t>
      </w:r>
      <w:r w:rsidRPr="000D7ADE">
        <w:rPr>
          <w:rFonts w:ascii="Corbel" w:hAnsi="Corbel"/>
          <w:sz w:val="22"/>
          <w:szCs w:val="22"/>
        </w:rPr>
        <w:t xml:space="preserve">(£) </w:t>
      </w:r>
      <w:r w:rsidRPr="000D7ADE">
        <w:rPr>
          <w:rFonts w:ascii="Corbel" w:hAnsi="Corbel"/>
          <w:i/>
          <w:iCs/>
          <w:sz w:val="22"/>
          <w:szCs w:val="22"/>
        </w:rPr>
        <w:t>currency conversion rates used for the years 2013 (extracted 11-11-14), 2014 (extracted 01-06-15), 2015 (extracted 4-11-2016)</w:t>
      </w:r>
      <w:r>
        <w:rPr>
          <w:rFonts w:ascii="Corbel" w:hAnsi="Corbel"/>
          <w:i/>
          <w:iCs/>
          <w:sz w:val="22"/>
          <w:szCs w:val="22"/>
        </w:rPr>
        <w:t xml:space="preserve"> and </w:t>
      </w:r>
      <w:r w:rsidRPr="000D7ADE">
        <w:rPr>
          <w:rFonts w:ascii="Corbel" w:hAnsi="Corbel"/>
          <w:i/>
          <w:iCs/>
          <w:sz w:val="22"/>
          <w:szCs w:val="22"/>
        </w:rPr>
        <w:t>2016 (extracted 5-10-2017)</w:t>
      </w:r>
      <w:r>
        <w:rPr>
          <w:rFonts w:ascii="Corbel" w:hAnsi="Corbel"/>
          <w:i/>
          <w:iCs/>
          <w:sz w:val="22"/>
          <w:szCs w:val="22"/>
        </w:rPr>
        <w:t xml:space="preserve"> </w:t>
      </w:r>
    </w:p>
    <w:p w:rsidR="004A19AE" w:rsidRDefault="004A19AE">
      <w:pPr>
        <w:spacing w:after="200" w:line="276" w:lineRule="auto"/>
        <w:rPr>
          <w:rFonts w:ascii="Corbel" w:hAnsi="Corbel"/>
          <w:iCs/>
          <w:sz w:val="22"/>
          <w:szCs w:val="22"/>
        </w:rPr>
      </w:pPr>
    </w:p>
    <w:p w:rsidR="008A59F1" w:rsidRDefault="008A59F1" w:rsidP="008A59F1">
      <w:pPr>
        <w:pStyle w:val="ListParagraph"/>
        <w:numPr>
          <w:ilvl w:val="0"/>
          <w:numId w:val="13"/>
        </w:numPr>
        <w:spacing w:line="276" w:lineRule="auto"/>
        <w:rPr>
          <w:rFonts w:ascii="Corbel" w:hAnsi="Corbel"/>
          <w:i/>
          <w:iCs/>
          <w:sz w:val="22"/>
          <w:szCs w:val="22"/>
        </w:rPr>
      </w:pPr>
      <w:r w:rsidRPr="008A59F1">
        <w:rPr>
          <w:rFonts w:ascii="Corbel" w:hAnsi="Corbel"/>
          <w:i/>
          <w:iCs/>
          <w:sz w:val="22"/>
          <w:szCs w:val="22"/>
        </w:rPr>
        <w:t>Cumulative amounts donated between 2013-2017</w:t>
      </w:r>
    </w:p>
    <w:p w:rsidR="00B64960" w:rsidRDefault="008A59F1" w:rsidP="007412FF">
      <w:pPr>
        <w:spacing w:after="200" w:line="276" w:lineRule="auto"/>
        <w:rPr>
          <w:rFonts w:ascii="Corbel" w:hAnsi="Corbel"/>
          <w:iCs/>
          <w:sz w:val="22"/>
          <w:szCs w:val="22"/>
        </w:rPr>
      </w:pPr>
      <w:r w:rsidRPr="008A59F1">
        <w:rPr>
          <w:rFonts w:ascii="Corbel" w:hAnsi="Corbel"/>
          <w:iCs/>
          <w:sz w:val="22"/>
          <w:szCs w:val="22"/>
        </w:rPr>
        <w:t xml:space="preserve">In order to create a </w:t>
      </w:r>
      <w:r w:rsidR="00C5090B">
        <w:rPr>
          <w:rFonts w:ascii="Corbel" w:hAnsi="Corbel"/>
          <w:iCs/>
          <w:sz w:val="22"/>
          <w:szCs w:val="22"/>
        </w:rPr>
        <w:t xml:space="preserve">new </w:t>
      </w:r>
      <w:r w:rsidRPr="008A59F1">
        <w:rPr>
          <w:rFonts w:ascii="Corbel" w:hAnsi="Corbel"/>
          <w:iCs/>
          <w:sz w:val="22"/>
          <w:szCs w:val="22"/>
        </w:rPr>
        <w:t xml:space="preserve">ranking (top 5) with </w:t>
      </w:r>
      <w:r w:rsidR="00B80643" w:rsidRPr="00B80643">
        <w:rPr>
          <w:rFonts w:ascii="Corbel" w:hAnsi="Corbel"/>
          <w:iCs/>
          <w:sz w:val="22"/>
          <w:szCs w:val="22"/>
        </w:rPr>
        <w:t xml:space="preserve">world’s most generous philanthropic foundations around the globe </w:t>
      </w:r>
      <w:r w:rsidR="00B80643">
        <w:rPr>
          <w:rFonts w:ascii="Corbel" w:hAnsi="Corbel"/>
          <w:iCs/>
          <w:sz w:val="22"/>
          <w:szCs w:val="22"/>
        </w:rPr>
        <w:t xml:space="preserve">in the past 5 years, we converted the amounts in local currency of each year to USD and used the average conversion rate of the respective year. </w:t>
      </w:r>
    </w:p>
    <w:p w:rsidR="00B64960" w:rsidRDefault="00B64960">
      <w:pPr>
        <w:spacing w:after="200" w:line="276" w:lineRule="auto"/>
        <w:rPr>
          <w:rFonts w:ascii="Corbel" w:hAnsi="Corbel"/>
          <w:iCs/>
          <w:sz w:val="22"/>
          <w:szCs w:val="22"/>
        </w:rPr>
      </w:pPr>
      <w:r>
        <w:rPr>
          <w:rFonts w:ascii="Corbel" w:hAnsi="Corbel"/>
          <w:iCs/>
          <w:sz w:val="22"/>
          <w:szCs w:val="22"/>
        </w:rPr>
        <w:br w:type="page"/>
      </w:r>
    </w:p>
    <w:p w:rsidR="00B64960" w:rsidRPr="00B64960" w:rsidRDefault="00B64960" w:rsidP="00B64960">
      <w:pPr>
        <w:pStyle w:val="ListParagraph"/>
        <w:numPr>
          <w:ilvl w:val="0"/>
          <w:numId w:val="2"/>
        </w:numPr>
        <w:spacing w:line="276" w:lineRule="auto"/>
        <w:rPr>
          <w:rFonts w:ascii="Corbel" w:hAnsi="Corbel"/>
          <w:b/>
          <w:i/>
          <w:szCs w:val="22"/>
          <w:u w:val="single"/>
        </w:rPr>
      </w:pPr>
      <w:bookmarkStart w:id="0" w:name="_GoBack"/>
      <w:bookmarkEnd w:id="0"/>
      <w:r w:rsidRPr="00B64960">
        <w:rPr>
          <w:rFonts w:ascii="Corbel" w:hAnsi="Corbel"/>
          <w:b/>
          <w:i/>
          <w:sz w:val="22"/>
          <w:szCs w:val="22"/>
        </w:rPr>
        <w:lastRenderedPageBreak/>
        <w:t>The lists for 2017</w:t>
      </w:r>
      <w:r w:rsidRPr="00B64960">
        <w:rPr>
          <w:rFonts w:ascii="Corbel" w:hAnsi="Corbel"/>
          <w:b/>
          <w:i/>
          <w:sz w:val="22"/>
          <w:szCs w:val="22"/>
        </w:rPr>
        <w:tab/>
      </w:r>
    </w:p>
    <w:p w:rsidR="00B64960" w:rsidRDefault="00B64960" w:rsidP="00B64960">
      <w:pPr>
        <w:spacing w:line="276" w:lineRule="auto"/>
        <w:rPr>
          <w:rFonts w:ascii="Corbel" w:hAnsi="Corbel"/>
          <w:bCs/>
          <w:i/>
          <w:szCs w:val="22"/>
          <w:u w:val="single"/>
        </w:rPr>
      </w:pPr>
    </w:p>
    <w:p w:rsidR="00B64960" w:rsidRDefault="00B64960" w:rsidP="00B64960">
      <w:pPr>
        <w:spacing w:line="276" w:lineRule="auto"/>
        <w:rPr>
          <w:rFonts w:ascii="Corbel" w:hAnsi="Corbel"/>
          <w:sz w:val="20"/>
          <w:szCs w:val="22"/>
          <w:lang w:val="en-GB"/>
        </w:rPr>
      </w:pPr>
      <w:r>
        <w:rPr>
          <w:rFonts w:ascii="Corbel" w:hAnsi="Corbel"/>
          <w:bCs/>
          <w:i/>
          <w:szCs w:val="22"/>
          <w:u w:val="single"/>
          <w:lang w:val="en-GB"/>
        </w:rPr>
        <w:t>Top 20 Foundations worldwide 2017</w:t>
      </w:r>
      <w:r>
        <w:rPr>
          <w:rFonts w:ascii="Corbel" w:hAnsi="Corbel"/>
          <w:bCs/>
          <w:i/>
          <w:szCs w:val="22"/>
          <w:u w:val="single"/>
          <w:lang w:val="en-GB"/>
        </w:rPr>
        <w:br/>
      </w:r>
    </w:p>
    <w:p w:rsidR="00B64960" w:rsidRDefault="00B64960" w:rsidP="00B64960">
      <w:pPr>
        <w:rPr>
          <w:rFonts w:ascii="Corbel" w:hAnsi="Corbel"/>
        </w:rPr>
      </w:pPr>
    </w:p>
    <w:tbl>
      <w:tblPr>
        <w:tblW w:w="0" w:type="dxa"/>
        <w:tblInd w:w="93" w:type="dxa"/>
        <w:tblLayout w:type="fixed"/>
        <w:tblLook w:val="04A0" w:firstRow="1" w:lastRow="0" w:firstColumn="1" w:lastColumn="0" w:noHBand="0" w:noVBand="1"/>
      </w:tblPr>
      <w:tblGrid>
        <w:gridCol w:w="5294"/>
        <w:gridCol w:w="567"/>
        <w:gridCol w:w="1984"/>
        <w:gridCol w:w="1276"/>
      </w:tblGrid>
      <w:tr w:rsidR="00B64960" w:rsidTr="00B64960">
        <w:trPr>
          <w:trHeight w:val="280"/>
        </w:trPr>
        <w:tc>
          <w:tcPr>
            <w:tcW w:w="5294" w:type="dxa"/>
            <w:tcBorders>
              <w:top w:val="single" w:sz="4" w:space="0" w:color="auto"/>
              <w:left w:val="nil"/>
              <w:bottom w:val="single" w:sz="4" w:space="0" w:color="auto"/>
              <w:right w:val="nil"/>
            </w:tcBorders>
            <w:noWrap/>
            <w:vAlign w:val="bottom"/>
            <w:hideMark/>
          </w:tcPr>
          <w:p w:rsidR="00B64960" w:rsidRDefault="00B64960">
            <w:pPr>
              <w:spacing w:line="276" w:lineRule="auto"/>
              <w:rPr>
                <w:rFonts w:ascii="Corbel" w:eastAsia="Times New Roman" w:hAnsi="Corbel"/>
                <w:b/>
                <w:bCs/>
                <w:color w:val="000000"/>
                <w:sz w:val="22"/>
                <w:szCs w:val="22"/>
                <w:lang w:val="en-GB" w:eastAsia="en-US"/>
              </w:rPr>
            </w:pPr>
            <w:r>
              <w:rPr>
                <w:rFonts w:ascii="Corbel" w:eastAsia="Times New Roman" w:hAnsi="Corbel"/>
                <w:b/>
                <w:bCs/>
                <w:color w:val="000000"/>
                <w:sz w:val="22"/>
                <w:szCs w:val="22"/>
                <w:lang w:val="en-GB" w:eastAsia="en-US"/>
              </w:rPr>
              <w:t xml:space="preserve">Foundation Name </w:t>
            </w:r>
          </w:p>
        </w:tc>
        <w:tc>
          <w:tcPr>
            <w:tcW w:w="567" w:type="dxa"/>
            <w:tcBorders>
              <w:top w:val="single" w:sz="4" w:space="0" w:color="auto"/>
              <w:left w:val="nil"/>
              <w:bottom w:val="single" w:sz="4" w:space="0" w:color="auto"/>
              <w:right w:val="nil"/>
            </w:tcBorders>
            <w:noWrap/>
            <w:vAlign w:val="bottom"/>
            <w:hideMark/>
          </w:tcPr>
          <w:p w:rsidR="00B64960" w:rsidRDefault="00B64960">
            <w:pPr>
              <w:spacing w:line="276" w:lineRule="auto"/>
              <w:jc w:val="center"/>
              <w:rPr>
                <w:rFonts w:ascii="Corbel" w:eastAsia="Times New Roman" w:hAnsi="Corbel" w:cstheme="minorHAnsi"/>
                <w:b/>
                <w:bCs/>
                <w:color w:val="000000"/>
                <w:sz w:val="22"/>
                <w:szCs w:val="22"/>
                <w:lang w:val="en-GB" w:eastAsia="en-US"/>
              </w:rPr>
            </w:pPr>
            <w:r>
              <w:rPr>
                <w:rFonts w:ascii="Corbel" w:eastAsia="Times New Roman" w:hAnsi="Corbel" w:cstheme="minorHAnsi"/>
                <w:b/>
                <w:bCs/>
                <w:color w:val="000000"/>
                <w:sz w:val="22"/>
                <w:szCs w:val="22"/>
                <w:lang w:val="en-GB" w:eastAsia="en-US"/>
              </w:rPr>
              <w:t>#</w:t>
            </w:r>
          </w:p>
        </w:tc>
        <w:tc>
          <w:tcPr>
            <w:tcW w:w="1984" w:type="dxa"/>
            <w:tcBorders>
              <w:top w:val="single" w:sz="4" w:space="0" w:color="auto"/>
              <w:left w:val="nil"/>
              <w:bottom w:val="single" w:sz="4" w:space="0" w:color="auto"/>
              <w:right w:val="nil"/>
            </w:tcBorders>
            <w:noWrap/>
            <w:vAlign w:val="bottom"/>
            <w:hideMark/>
          </w:tcPr>
          <w:p w:rsidR="00B64960" w:rsidRDefault="00B64960">
            <w:pPr>
              <w:spacing w:line="276" w:lineRule="auto"/>
              <w:jc w:val="right"/>
              <w:rPr>
                <w:rFonts w:ascii="Corbel" w:eastAsia="Times New Roman" w:hAnsi="Corbel"/>
                <w:b/>
                <w:bCs/>
                <w:color w:val="000000"/>
                <w:sz w:val="22"/>
                <w:szCs w:val="22"/>
                <w:lang w:val="en-GB" w:eastAsia="en-US"/>
              </w:rPr>
            </w:pPr>
            <w:r>
              <w:rPr>
                <w:rFonts w:ascii="Corbel" w:eastAsia="Times New Roman" w:hAnsi="Corbel"/>
                <w:b/>
                <w:bCs/>
                <w:color w:val="000000"/>
                <w:sz w:val="22"/>
                <w:szCs w:val="22"/>
                <w:lang w:val="en-GB" w:eastAsia="en-US"/>
              </w:rPr>
              <w:t>$ donated in 2017</w:t>
            </w:r>
          </w:p>
        </w:tc>
        <w:tc>
          <w:tcPr>
            <w:tcW w:w="1276" w:type="dxa"/>
            <w:tcBorders>
              <w:top w:val="single" w:sz="4" w:space="0" w:color="auto"/>
              <w:left w:val="nil"/>
              <w:bottom w:val="single" w:sz="4" w:space="0" w:color="auto"/>
              <w:right w:val="nil"/>
            </w:tcBorders>
            <w:noWrap/>
            <w:vAlign w:val="bottom"/>
            <w:hideMark/>
          </w:tcPr>
          <w:p w:rsidR="00B64960" w:rsidRDefault="00B64960">
            <w:pPr>
              <w:spacing w:line="276" w:lineRule="auto"/>
              <w:jc w:val="right"/>
              <w:rPr>
                <w:rFonts w:ascii="Corbel" w:eastAsia="Times New Roman" w:hAnsi="Corbel"/>
                <w:b/>
                <w:bCs/>
                <w:color w:val="000000"/>
                <w:sz w:val="22"/>
                <w:szCs w:val="22"/>
                <w:lang w:val="en-GB" w:eastAsia="en-US"/>
              </w:rPr>
            </w:pPr>
            <w:r>
              <w:rPr>
                <w:rFonts w:ascii="Corbel" w:eastAsia="Times New Roman" w:hAnsi="Corbel"/>
                <w:b/>
                <w:bCs/>
                <w:color w:val="000000"/>
                <w:sz w:val="22"/>
                <w:szCs w:val="22"/>
                <w:lang w:val="en-GB" w:eastAsia="en-US"/>
              </w:rPr>
              <w:t>% change*</w:t>
            </w:r>
          </w:p>
        </w:tc>
      </w:tr>
      <w:tr w:rsidR="00B64960" w:rsidTr="00B64960">
        <w:trPr>
          <w:trHeight w:val="280"/>
        </w:trPr>
        <w:tc>
          <w:tcPr>
            <w:tcW w:w="5294" w:type="dxa"/>
            <w:tcBorders>
              <w:top w:val="single" w:sz="4" w:space="0" w:color="auto"/>
              <w:left w:val="nil"/>
              <w:bottom w:val="nil"/>
              <w:right w:val="nil"/>
            </w:tcBorders>
            <w:noWrap/>
            <w:hideMark/>
          </w:tcPr>
          <w:p w:rsidR="00B64960" w:rsidRDefault="00B64960">
            <w:pPr>
              <w:spacing w:line="276" w:lineRule="auto"/>
              <w:rPr>
                <w:rFonts w:ascii="Corbel" w:hAnsi="Corbel" w:cstheme="minorHAnsi"/>
                <w:sz w:val="22"/>
              </w:rPr>
            </w:pPr>
            <w:r>
              <w:rPr>
                <w:rFonts w:ascii="Corbel" w:hAnsi="Corbel" w:cstheme="minorHAnsi"/>
                <w:sz w:val="22"/>
              </w:rPr>
              <w:t>Bill and Melinda Gates Foundation (USA)</w:t>
            </w:r>
          </w:p>
        </w:tc>
        <w:tc>
          <w:tcPr>
            <w:tcW w:w="567" w:type="dxa"/>
            <w:tcBorders>
              <w:top w:val="single" w:sz="4" w:space="0" w:color="auto"/>
              <w:left w:val="nil"/>
              <w:bottom w:val="nil"/>
              <w:right w:val="nil"/>
            </w:tcBorders>
            <w:noWrap/>
            <w:hideMark/>
          </w:tcPr>
          <w:p w:rsidR="00B64960" w:rsidRDefault="00B64960">
            <w:pPr>
              <w:spacing w:line="276" w:lineRule="auto"/>
              <w:jc w:val="center"/>
              <w:rPr>
                <w:rFonts w:ascii="Corbel" w:hAnsi="Corbel" w:cstheme="minorHAnsi"/>
                <w:sz w:val="22"/>
              </w:rPr>
            </w:pPr>
            <w:r>
              <w:rPr>
                <w:rFonts w:ascii="Corbel" w:hAnsi="Corbel" w:cstheme="minorHAnsi"/>
                <w:sz w:val="22"/>
              </w:rPr>
              <w:t>1</w:t>
            </w:r>
          </w:p>
        </w:tc>
        <w:tc>
          <w:tcPr>
            <w:tcW w:w="1984" w:type="dxa"/>
            <w:noWrap/>
            <w:vAlign w:val="bottom"/>
            <w:hideMark/>
          </w:tcPr>
          <w:p w:rsidR="00B64960" w:rsidRDefault="00B64960">
            <w:pPr>
              <w:spacing w:line="276" w:lineRule="auto"/>
              <w:jc w:val="right"/>
              <w:rPr>
                <w:rFonts w:ascii="Corbel" w:eastAsia="Times New Roman" w:hAnsi="Corbel" w:cs="Calibri"/>
                <w:bCs/>
                <w:sz w:val="22"/>
                <w:szCs w:val="22"/>
                <w:lang w:eastAsia="nl-NL"/>
              </w:rPr>
            </w:pPr>
            <w:r>
              <w:rPr>
                <w:rFonts w:ascii="Corbel" w:hAnsi="Corbel" w:cs="Calibri"/>
                <w:bCs/>
                <w:sz w:val="22"/>
                <w:szCs w:val="22"/>
              </w:rPr>
              <w:t>5218</w:t>
            </w:r>
          </w:p>
        </w:tc>
        <w:tc>
          <w:tcPr>
            <w:tcW w:w="1276" w:type="dxa"/>
            <w:noWrap/>
            <w:vAlign w:val="bottom"/>
            <w:hideMark/>
          </w:tcPr>
          <w:p w:rsidR="00B64960" w:rsidRDefault="00B64960">
            <w:pPr>
              <w:spacing w:line="276" w:lineRule="auto"/>
              <w:jc w:val="right"/>
              <w:rPr>
                <w:rFonts w:ascii="Corbel" w:eastAsia="Times New Roman" w:hAnsi="Corbel" w:cs="Calibri"/>
                <w:i/>
                <w:iCs/>
                <w:color w:val="00B050"/>
                <w:sz w:val="22"/>
                <w:szCs w:val="22"/>
                <w:lang w:eastAsia="nl-NL"/>
              </w:rPr>
            </w:pPr>
            <w:r>
              <w:rPr>
                <w:rFonts w:ascii="Corbel" w:hAnsi="Corbel" w:cs="Calibri"/>
                <w:i/>
                <w:iCs/>
                <w:color w:val="00B050"/>
                <w:sz w:val="22"/>
                <w:szCs w:val="22"/>
              </w:rPr>
              <w:t>7%</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proofErr w:type="spellStart"/>
            <w:r>
              <w:rPr>
                <w:rFonts w:ascii="Corbel" w:hAnsi="Corbel" w:cstheme="minorHAnsi"/>
                <w:sz w:val="22"/>
              </w:rPr>
              <w:t>Wellcome</w:t>
            </w:r>
            <w:proofErr w:type="spellEnd"/>
            <w:r>
              <w:rPr>
                <w:rFonts w:ascii="Corbel" w:hAnsi="Corbel" w:cstheme="minorHAnsi"/>
                <w:sz w:val="22"/>
              </w:rPr>
              <w:t xml:space="preserve"> Trust (UK)</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2</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1201</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30%</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Hong Kong Jockey Club (China)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3</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976</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95%</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proofErr w:type="spellStart"/>
            <w:r>
              <w:rPr>
                <w:rFonts w:ascii="Corbel" w:hAnsi="Corbel" w:cstheme="minorHAnsi"/>
                <w:sz w:val="22"/>
              </w:rPr>
              <w:t>Novamedia</w:t>
            </w:r>
            <w:proofErr w:type="spellEnd"/>
            <w:r>
              <w:rPr>
                <w:rFonts w:ascii="Corbel" w:hAnsi="Corbel" w:cstheme="minorHAnsi"/>
                <w:sz w:val="22"/>
              </w:rPr>
              <w:t>/Postcode Lotteries (Netherlands)</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4</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809</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8%</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Ford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5</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652</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24%</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The Walton Family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6</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536</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18%</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Lilly Endowment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7</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508</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41%</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John D. and Catherine T. MacArthur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8</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471</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87%</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William and Flora Hewlett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9</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408</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-2%</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The Robert Wood Johnson Foundation(USA)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10</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365</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-1%</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W.K. Kellogg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11</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357</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-7%</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Church Commissioners (UK)</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12</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291</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-2%</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 xml:space="preserve">'la </w:t>
            </w:r>
            <w:proofErr w:type="spellStart"/>
            <w:r>
              <w:rPr>
                <w:rFonts w:ascii="Corbel" w:hAnsi="Corbel" w:cstheme="minorHAnsi"/>
                <w:sz w:val="22"/>
              </w:rPr>
              <w:t>Caixa</w:t>
            </w:r>
            <w:proofErr w:type="spellEnd"/>
            <w:r>
              <w:rPr>
                <w:rFonts w:ascii="Corbel" w:hAnsi="Corbel" w:cstheme="minorHAnsi"/>
                <w:sz w:val="22"/>
              </w:rPr>
              <w:t>' Foundation (Spain)</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13</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287</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11%</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Gordon and Betty Moore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14</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285</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0%</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Andrew W. Mellon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15</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282</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-5%</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The Simons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16</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273</w:t>
            </w:r>
          </w:p>
        </w:tc>
        <w:tc>
          <w:tcPr>
            <w:tcW w:w="1276" w:type="dxa"/>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18%</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David and Lucile Packard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17</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248</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-30%</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Margaret A. Cargill Foundation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18</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236</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-11%</w:t>
            </w:r>
          </w:p>
        </w:tc>
      </w:tr>
      <w:tr w:rsidR="00B64960" w:rsidTr="00B64960">
        <w:trPr>
          <w:trHeight w:val="280"/>
        </w:trPr>
        <w:tc>
          <w:tcPr>
            <w:tcW w:w="5294" w:type="dxa"/>
            <w:noWrap/>
            <w:hideMark/>
          </w:tcPr>
          <w:p w:rsidR="00B64960" w:rsidRDefault="00B64960">
            <w:pPr>
              <w:spacing w:line="276" w:lineRule="auto"/>
              <w:rPr>
                <w:rFonts w:ascii="Corbel" w:hAnsi="Corbel" w:cstheme="minorHAnsi"/>
                <w:sz w:val="22"/>
              </w:rPr>
            </w:pPr>
            <w:r>
              <w:rPr>
                <w:rFonts w:ascii="Corbel" w:hAnsi="Corbel" w:cstheme="minorHAnsi"/>
                <w:sz w:val="22"/>
              </w:rPr>
              <w:t>Helmsley Trust (USA)</w:t>
            </w:r>
          </w:p>
        </w:tc>
        <w:tc>
          <w:tcPr>
            <w:tcW w:w="567" w:type="dxa"/>
            <w:noWrap/>
            <w:hideMark/>
          </w:tcPr>
          <w:p w:rsidR="00B64960" w:rsidRDefault="00B64960">
            <w:pPr>
              <w:spacing w:line="276" w:lineRule="auto"/>
              <w:jc w:val="center"/>
              <w:rPr>
                <w:rFonts w:ascii="Corbel" w:hAnsi="Corbel" w:cstheme="minorHAnsi"/>
                <w:sz w:val="22"/>
              </w:rPr>
            </w:pPr>
            <w:r>
              <w:rPr>
                <w:rFonts w:ascii="Corbel" w:hAnsi="Corbel" w:cstheme="minorHAnsi"/>
                <w:sz w:val="22"/>
              </w:rPr>
              <w:t>19</w:t>
            </w:r>
          </w:p>
        </w:tc>
        <w:tc>
          <w:tcPr>
            <w:tcW w:w="1984" w:type="dxa"/>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231</w:t>
            </w:r>
          </w:p>
        </w:tc>
        <w:tc>
          <w:tcPr>
            <w:tcW w:w="1276" w:type="dxa"/>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-8%</w:t>
            </w:r>
          </w:p>
        </w:tc>
      </w:tr>
      <w:tr w:rsidR="00B64960" w:rsidTr="00B64960">
        <w:trPr>
          <w:trHeight w:val="280"/>
        </w:trPr>
        <w:tc>
          <w:tcPr>
            <w:tcW w:w="5294" w:type="dxa"/>
            <w:tcBorders>
              <w:top w:val="nil"/>
              <w:left w:val="nil"/>
              <w:bottom w:val="single" w:sz="4" w:space="0" w:color="auto"/>
              <w:right w:val="nil"/>
            </w:tcBorders>
            <w:noWrap/>
            <w:hideMark/>
          </w:tcPr>
          <w:p w:rsidR="00B64960" w:rsidRDefault="00B64960">
            <w:pPr>
              <w:spacing w:line="276" w:lineRule="auto"/>
              <w:rPr>
                <w:rFonts w:ascii="Corbel" w:hAnsi="Corbel" w:cstheme="minorHAnsi"/>
                <w:sz w:val="22"/>
              </w:rPr>
            </w:pPr>
            <w:r>
              <w:rPr>
                <w:rFonts w:ascii="Corbel" w:hAnsi="Corbel" w:cstheme="minorHAnsi"/>
                <w:sz w:val="22"/>
              </w:rPr>
              <w:t>OAK Foundation (</w:t>
            </w:r>
            <w:proofErr w:type="spellStart"/>
            <w:r>
              <w:rPr>
                <w:rFonts w:ascii="Corbel" w:hAnsi="Corbel" w:cstheme="minorHAnsi"/>
                <w:sz w:val="22"/>
              </w:rPr>
              <w:t>Switserland</w:t>
            </w:r>
            <w:proofErr w:type="spellEnd"/>
            <w:r>
              <w:rPr>
                <w:rFonts w:ascii="Corbel" w:hAnsi="Corbel" w:cstheme="minorHAnsi"/>
                <w:sz w:val="22"/>
              </w:rPr>
              <w:t>)</w:t>
            </w:r>
          </w:p>
        </w:tc>
        <w:tc>
          <w:tcPr>
            <w:tcW w:w="567" w:type="dxa"/>
            <w:tcBorders>
              <w:top w:val="nil"/>
              <w:left w:val="nil"/>
              <w:bottom w:val="single" w:sz="4" w:space="0" w:color="auto"/>
              <w:right w:val="nil"/>
            </w:tcBorders>
            <w:noWrap/>
            <w:hideMark/>
          </w:tcPr>
          <w:p w:rsidR="00B64960" w:rsidRDefault="00B64960">
            <w:pPr>
              <w:spacing w:line="276" w:lineRule="auto"/>
              <w:jc w:val="center"/>
              <w:rPr>
                <w:rFonts w:ascii="Corbel" w:hAnsi="Corbel" w:cstheme="minorHAnsi"/>
                <w:sz w:val="22"/>
              </w:rPr>
            </w:pPr>
            <w:r>
              <w:rPr>
                <w:rFonts w:ascii="Corbel" w:hAnsi="Corbel" w:cstheme="minorHAnsi"/>
                <w:sz w:val="22"/>
              </w:rPr>
              <w:t>20</w:t>
            </w:r>
          </w:p>
        </w:tc>
        <w:tc>
          <w:tcPr>
            <w:tcW w:w="1984" w:type="dxa"/>
            <w:tcBorders>
              <w:top w:val="nil"/>
              <w:left w:val="nil"/>
              <w:bottom w:val="single" w:sz="4" w:space="0" w:color="auto"/>
              <w:right w:val="nil"/>
            </w:tcBorders>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222</w:t>
            </w:r>
          </w:p>
        </w:tc>
        <w:tc>
          <w:tcPr>
            <w:tcW w:w="1276" w:type="dxa"/>
            <w:tcBorders>
              <w:top w:val="nil"/>
              <w:left w:val="nil"/>
              <w:bottom w:val="single" w:sz="4" w:space="0" w:color="auto"/>
              <w:right w:val="nil"/>
            </w:tcBorders>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w:t>
            </w:r>
          </w:p>
        </w:tc>
      </w:tr>
    </w:tbl>
    <w:p w:rsidR="00B64960" w:rsidRDefault="00B64960" w:rsidP="00B64960">
      <w:pPr>
        <w:rPr>
          <w:rFonts w:ascii="Corbel" w:hAnsi="Corbel"/>
        </w:rPr>
      </w:pPr>
      <w:r>
        <w:rPr>
          <w:rFonts w:ascii="Corbel" w:hAnsi="Corbel"/>
          <w:sz w:val="20"/>
          <w:szCs w:val="22"/>
          <w:lang w:val="en-GB"/>
        </w:rPr>
        <w:t>* Increase or decrease in grants funded compared to 2016, in original currency</w:t>
      </w:r>
    </w:p>
    <w:p w:rsidR="00B64960" w:rsidRDefault="00B64960" w:rsidP="00B64960">
      <w:pPr>
        <w:spacing w:line="276" w:lineRule="auto"/>
        <w:jc w:val="both"/>
        <w:rPr>
          <w:rFonts w:ascii="Corbel" w:hAnsi="Corbel"/>
          <w:bCs/>
          <w:i/>
          <w:sz w:val="22"/>
          <w:szCs w:val="22"/>
        </w:rPr>
      </w:pPr>
      <w:r>
        <w:rPr>
          <w:rFonts w:ascii="Corbel" w:hAnsi="Corbel"/>
          <w:bCs/>
          <w:i/>
          <w:sz w:val="22"/>
          <w:szCs w:val="22"/>
        </w:rPr>
        <w:br/>
      </w:r>
    </w:p>
    <w:p w:rsidR="00B64960" w:rsidRDefault="00B64960" w:rsidP="00B64960">
      <w:pPr>
        <w:spacing w:line="276" w:lineRule="auto"/>
        <w:rPr>
          <w:rFonts w:ascii="Corbel" w:hAnsi="Corbel"/>
          <w:bCs/>
          <w:i/>
          <w:sz w:val="22"/>
          <w:szCs w:val="22"/>
        </w:rPr>
        <w:sectPr w:rsidR="00B64960">
          <w:pgSz w:w="11906" w:h="16838"/>
          <w:pgMar w:top="1276" w:right="1417" w:bottom="1417" w:left="1417" w:header="708" w:footer="708" w:gutter="0"/>
          <w:cols w:space="708"/>
        </w:sectPr>
      </w:pPr>
    </w:p>
    <w:p w:rsidR="00B64960" w:rsidRDefault="00B64960" w:rsidP="00B64960">
      <w:pPr>
        <w:spacing w:line="276" w:lineRule="auto"/>
        <w:jc w:val="both"/>
        <w:rPr>
          <w:rFonts w:ascii="Corbel" w:hAnsi="Corbel"/>
          <w:b/>
          <w:i/>
          <w:szCs w:val="22"/>
          <w:u w:val="single"/>
        </w:rPr>
      </w:pPr>
      <w:r>
        <w:rPr>
          <w:rFonts w:ascii="Corbel" w:hAnsi="Corbel"/>
          <w:bCs/>
          <w:i/>
          <w:szCs w:val="22"/>
          <w:u w:val="single"/>
        </w:rPr>
        <w:lastRenderedPageBreak/>
        <w:t>Top 20 Foundations Europe 2017</w:t>
      </w:r>
    </w:p>
    <w:p w:rsidR="00B64960" w:rsidRDefault="00B64960" w:rsidP="00B64960">
      <w:pPr>
        <w:spacing w:line="276" w:lineRule="auto"/>
        <w:rPr>
          <w:rFonts w:ascii="Corbel" w:hAnsi="Corbel"/>
          <w:i/>
          <w:sz w:val="22"/>
          <w:szCs w:val="22"/>
          <w:u w:val="single"/>
        </w:rPr>
      </w:pPr>
    </w:p>
    <w:tbl>
      <w:tblPr>
        <w:tblW w:w="5000" w:type="pct"/>
        <w:tblLook w:val="04A0" w:firstRow="1" w:lastRow="0" w:firstColumn="1" w:lastColumn="0" w:noHBand="0" w:noVBand="1"/>
      </w:tblPr>
      <w:tblGrid>
        <w:gridCol w:w="4535"/>
        <w:gridCol w:w="670"/>
        <w:gridCol w:w="2446"/>
        <w:gridCol w:w="1421"/>
      </w:tblGrid>
      <w:tr w:rsidR="00B64960" w:rsidTr="00B64960">
        <w:trPr>
          <w:trHeight w:val="280"/>
        </w:trPr>
        <w:tc>
          <w:tcPr>
            <w:tcW w:w="2499" w:type="pct"/>
            <w:tcBorders>
              <w:top w:val="single" w:sz="4" w:space="0" w:color="auto"/>
              <w:left w:val="nil"/>
              <w:bottom w:val="single" w:sz="4" w:space="0" w:color="auto"/>
              <w:right w:val="nil"/>
            </w:tcBorders>
            <w:noWrap/>
            <w:vAlign w:val="bottom"/>
            <w:hideMark/>
          </w:tcPr>
          <w:p w:rsidR="00B64960" w:rsidRDefault="00B64960">
            <w:pPr>
              <w:spacing w:line="276" w:lineRule="auto"/>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 xml:space="preserve">Foundation Name </w:t>
            </w:r>
          </w:p>
        </w:tc>
        <w:tc>
          <w:tcPr>
            <w:tcW w:w="369" w:type="pct"/>
            <w:tcBorders>
              <w:top w:val="single" w:sz="4" w:space="0" w:color="auto"/>
              <w:left w:val="nil"/>
              <w:bottom w:val="single" w:sz="4" w:space="0" w:color="auto"/>
              <w:right w:val="nil"/>
            </w:tcBorders>
            <w:noWrap/>
            <w:vAlign w:val="center"/>
            <w:hideMark/>
          </w:tcPr>
          <w:p w:rsidR="00B64960" w:rsidRDefault="00B64960">
            <w:pPr>
              <w:spacing w:line="276" w:lineRule="auto"/>
              <w:jc w:val="center"/>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w:t>
            </w:r>
          </w:p>
        </w:tc>
        <w:tc>
          <w:tcPr>
            <w:tcW w:w="1348" w:type="pct"/>
            <w:tcBorders>
              <w:top w:val="single" w:sz="4" w:space="0" w:color="auto"/>
              <w:left w:val="nil"/>
              <w:bottom w:val="single" w:sz="4" w:space="0" w:color="auto"/>
              <w:right w:val="nil"/>
            </w:tcBorders>
            <w:noWrap/>
            <w:vAlign w:val="center"/>
            <w:hideMark/>
          </w:tcPr>
          <w:p w:rsidR="00B64960" w:rsidRDefault="00B64960">
            <w:pPr>
              <w:spacing w:line="276" w:lineRule="auto"/>
              <w:jc w:val="right"/>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 xml:space="preserve">$ </w:t>
            </w:r>
            <w:proofErr w:type="spellStart"/>
            <w:r>
              <w:rPr>
                <w:rFonts w:ascii="Corbel" w:eastAsia="Times New Roman" w:hAnsi="Corbel"/>
                <w:b/>
                <w:color w:val="000000"/>
                <w:sz w:val="22"/>
                <w:szCs w:val="22"/>
                <w:lang w:val="nl-NL" w:eastAsia="en-US"/>
              </w:rPr>
              <w:t>donated</w:t>
            </w:r>
            <w:proofErr w:type="spellEnd"/>
            <w:r>
              <w:rPr>
                <w:rFonts w:ascii="Corbel" w:eastAsia="Times New Roman" w:hAnsi="Corbel"/>
                <w:b/>
                <w:color w:val="000000"/>
                <w:sz w:val="22"/>
                <w:szCs w:val="22"/>
                <w:lang w:val="nl-NL" w:eastAsia="en-US"/>
              </w:rPr>
              <w:t xml:space="preserve"> in 2017</w:t>
            </w:r>
          </w:p>
        </w:tc>
        <w:tc>
          <w:tcPr>
            <w:tcW w:w="783" w:type="pct"/>
            <w:tcBorders>
              <w:top w:val="single" w:sz="4" w:space="0" w:color="auto"/>
              <w:left w:val="nil"/>
              <w:bottom w:val="single" w:sz="4" w:space="0" w:color="auto"/>
              <w:right w:val="nil"/>
            </w:tcBorders>
            <w:noWrap/>
            <w:vAlign w:val="center"/>
            <w:hideMark/>
          </w:tcPr>
          <w:p w:rsidR="00B64960" w:rsidRDefault="00B64960">
            <w:pPr>
              <w:spacing w:line="276" w:lineRule="auto"/>
              <w:jc w:val="right"/>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 change*</w:t>
            </w:r>
          </w:p>
        </w:tc>
      </w:tr>
      <w:tr w:rsidR="00B64960" w:rsidTr="00B64960">
        <w:trPr>
          <w:trHeight w:val="280"/>
        </w:trPr>
        <w:tc>
          <w:tcPr>
            <w:tcW w:w="2499" w:type="pct"/>
            <w:tcBorders>
              <w:top w:val="single" w:sz="4" w:space="0" w:color="auto"/>
              <w:left w:val="nil"/>
              <w:bottom w:val="nil"/>
              <w:right w:val="nil"/>
            </w:tcBorders>
            <w:noWrap/>
            <w:vAlign w:val="bottom"/>
            <w:hideMark/>
          </w:tcPr>
          <w:p w:rsidR="00B64960" w:rsidRDefault="00B64960">
            <w:pPr>
              <w:spacing w:line="276" w:lineRule="auto"/>
              <w:rPr>
                <w:rFonts w:ascii="Corbel" w:eastAsia="Times New Roman" w:hAnsi="Corbel" w:cs="Calibri"/>
                <w:color w:val="000000"/>
                <w:sz w:val="22"/>
                <w:szCs w:val="22"/>
                <w:lang w:eastAsia="nl-NL"/>
              </w:rPr>
            </w:pPr>
            <w:proofErr w:type="spellStart"/>
            <w:r>
              <w:rPr>
                <w:rFonts w:ascii="Corbel" w:hAnsi="Corbel" w:cs="Calibri"/>
                <w:color w:val="000000"/>
                <w:sz w:val="22"/>
                <w:szCs w:val="22"/>
              </w:rPr>
              <w:t>Wellcome</w:t>
            </w:r>
            <w:proofErr w:type="spellEnd"/>
            <w:r>
              <w:rPr>
                <w:rFonts w:ascii="Corbel" w:hAnsi="Corbel" w:cs="Calibri"/>
                <w:color w:val="000000"/>
                <w:sz w:val="22"/>
                <w:szCs w:val="22"/>
              </w:rPr>
              <w:t xml:space="preserve"> Trust (UK)</w:t>
            </w:r>
          </w:p>
        </w:tc>
        <w:tc>
          <w:tcPr>
            <w:tcW w:w="369" w:type="pct"/>
            <w:noWrap/>
            <w:vAlign w:val="bottom"/>
            <w:hideMark/>
          </w:tcPr>
          <w:p w:rsidR="00B64960" w:rsidRDefault="00B64960">
            <w:pPr>
              <w:spacing w:line="276" w:lineRule="auto"/>
              <w:jc w:val="center"/>
              <w:rPr>
                <w:rFonts w:ascii="Corbel" w:eastAsia="Times New Roman" w:hAnsi="Corbel" w:cs="Calibri"/>
                <w:color w:val="000000"/>
                <w:sz w:val="22"/>
                <w:szCs w:val="22"/>
                <w:lang w:eastAsia="nl-NL"/>
              </w:rPr>
            </w:pPr>
            <w:r>
              <w:rPr>
                <w:rFonts w:ascii="Corbel" w:hAnsi="Corbel" w:cs="Calibri"/>
                <w:color w:val="000000"/>
                <w:sz w:val="22"/>
                <w:szCs w:val="22"/>
              </w:rPr>
              <w:t>1</w:t>
            </w:r>
          </w:p>
        </w:tc>
        <w:tc>
          <w:tcPr>
            <w:tcW w:w="1348" w:type="pct"/>
            <w:noWrap/>
            <w:vAlign w:val="bottom"/>
            <w:hideMark/>
          </w:tcPr>
          <w:p w:rsidR="00B64960" w:rsidRDefault="00B64960">
            <w:pPr>
              <w:spacing w:line="276" w:lineRule="auto"/>
              <w:jc w:val="right"/>
              <w:rPr>
                <w:rFonts w:ascii="Corbel" w:eastAsia="Times New Roman" w:hAnsi="Corbel" w:cs="Calibri"/>
                <w:bCs/>
                <w:sz w:val="22"/>
                <w:szCs w:val="22"/>
                <w:lang w:eastAsia="nl-NL"/>
              </w:rPr>
            </w:pPr>
            <w:r>
              <w:rPr>
                <w:rFonts w:ascii="Corbel" w:hAnsi="Corbel" w:cs="Calibri"/>
                <w:bCs/>
                <w:sz w:val="22"/>
                <w:szCs w:val="22"/>
              </w:rPr>
              <w:t>1201</w:t>
            </w:r>
          </w:p>
        </w:tc>
        <w:tc>
          <w:tcPr>
            <w:tcW w:w="783" w:type="pct"/>
            <w:noWrap/>
            <w:vAlign w:val="bottom"/>
            <w:hideMark/>
          </w:tcPr>
          <w:p w:rsidR="00B64960" w:rsidRDefault="00B64960">
            <w:pPr>
              <w:spacing w:line="276" w:lineRule="auto"/>
              <w:jc w:val="right"/>
              <w:rPr>
                <w:rFonts w:ascii="Corbel" w:eastAsia="Times New Roman" w:hAnsi="Corbel" w:cs="Calibri"/>
                <w:i/>
                <w:iCs/>
                <w:color w:val="00B050"/>
                <w:sz w:val="22"/>
                <w:szCs w:val="22"/>
                <w:lang w:eastAsia="nl-NL"/>
              </w:rPr>
            </w:pPr>
            <w:r>
              <w:rPr>
                <w:rFonts w:ascii="Corbel" w:hAnsi="Corbel" w:cs="Calibri"/>
                <w:i/>
                <w:iCs/>
                <w:color w:val="00B050"/>
                <w:sz w:val="22"/>
                <w:szCs w:val="22"/>
              </w:rPr>
              <w:t>30%</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proofErr w:type="spellStart"/>
            <w:r>
              <w:rPr>
                <w:rFonts w:ascii="Corbel" w:hAnsi="Corbel" w:cs="Calibri"/>
                <w:color w:val="000000"/>
                <w:sz w:val="22"/>
                <w:szCs w:val="22"/>
              </w:rPr>
              <w:t>Novamedia</w:t>
            </w:r>
            <w:proofErr w:type="spellEnd"/>
            <w:r>
              <w:rPr>
                <w:rFonts w:ascii="Corbel" w:hAnsi="Corbel" w:cs="Calibri"/>
                <w:color w:val="000000"/>
                <w:sz w:val="22"/>
                <w:szCs w:val="22"/>
              </w:rPr>
              <w:t>/Postcode Lotteries (Netherlands)</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2</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809</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8%</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Church Commissioners (UK)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3</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291</w:t>
            </w:r>
          </w:p>
        </w:tc>
        <w:tc>
          <w:tcPr>
            <w:tcW w:w="783" w:type="pct"/>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 xml:space="preserve">'la </w:t>
            </w:r>
            <w:proofErr w:type="spellStart"/>
            <w:r>
              <w:rPr>
                <w:rFonts w:ascii="Corbel" w:hAnsi="Corbel" w:cs="Calibri"/>
                <w:color w:val="000000"/>
                <w:sz w:val="22"/>
                <w:szCs w:val="22"/>
              </w:rPr>
              <w:t>Caixa</w:t>
            </w:r>
            <w:proofErr w:type="spellEnd"/>
            <w:r>
              <w:rPr>
                <w:rFonts w:ascii="Corbel" w:hAnsi="Corbel" w:cs="Calibri"/>
                <w:color w:val="000000"/>
                <w:sz w:val="22"/>
                <w:szCs w:val="22"/>
              </w:rPr>
              <w:t>' Foundation (Spain)</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4</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287</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11%</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OAK Foundation (</w:t>
            </w:r>
            <w:proofErr w:type="spellStart"/>
            <w:r>
              <w:rPr>
                <w:rFonts w:ascii="Corbel" w:hAnsi="Corbel" w:cs="Calibri"/>
                <w:color w:val="000000"/>
                <w:sz w:val="22"/>
                <w:szCs w:val="22"/>
              </w:rPr>
              <w:t>Switserland</w:t>
            </w:r>
            <w:proofErr w:type="spellEnd"/>
            <w:r>
              <w:rPr>
                <w:rFonts w:ascii="Corbel" w:hAnsi="Corbel" w:cs="Calibri"/>
                <w:color w:val="000000"/>
                <w:sz w:val="22"/>
                <w:szCs w:val="22"/>
              </w:rPr>
              <w:t>)</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5</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222</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Children's Investment Fund Foundation (UK)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6</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219</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5%</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proofErr w:type="spellStart"/>
            <w:r>
              <w:rPr>
                <w:rFonts w:ascii="Corbel" w:hAnsi="Corbel" w:cs="Calibri"/>
                <w:color w:val="000000"/>
                <w:sz w:val="22"/>
                <w:szCs w:val="22"/>
              </w:rPr>
              <w:t>Compagnia</w:t>
            </w:r>
            <w:proofErr w:type="spellEnd"/>
            <w:r>
              <w:rPr>
                <w:rFonts w:ascii="Corbel" w:hAnsi="Corbel" w:cs="Calibri"/>
                <w:color w:val="000000"/>
                <w:sz w:val="22"/>
                <w:szCs w:val="22"/>
              </w:rPr>
              <w:t xml:space="preserve"> di San Paolo (Italy)</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7</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200</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7%</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Volkswagen Foundation (Germany)</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8</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175</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53%</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IKEA Foundation (Netherlands)</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9</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163</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sz w:val="22"/>
                <w:szCs w:val="22"/>
              </w:rPr>
            </w:pPr>
            <w:proofErr w:type="spellStart"/>
            <w:r>
              <w:rPr>
                <w:rFonts w:ascii="Corbel" w:hAnsi="Corbel" w:cs="Calibri"/>
                <w:sz w:val="22"/>
                <w:szCs w:val="22"/>
              </w:rPr>
              <w:t>Villum</w:t>
            </w:r>
            <w:proofErr w:type="spellEnd"/>
            <w:r>
              <w:rPr>
                <w:rFonts w:ascii="Corbel" w:hAnsi="Corbel" w:cs="Calibri"/>
                <w:sz w:val="22"/>
                <w:szCs w:val="22"/>
              </w:rPr>
              <w:t xml:space="preserve"> </w:t>
            </w:r>
            <w:proofErr w:type="spellStart"/>
            <w:r>
              <w:rPr>
                <w:rFonts w:ascii="Corbel" w:hAnsi="Corbel" w:cs="Calibri"/>
                <w:sz w:val="22"/>
                <w:szCs w:val="22"/>
              </w:rPr>
              <w:t>Fonden</w:t>
            </w:r>
            <w:proofErr w:type="spellEnd"/>
            <w:r>
              <w:rPr>
                <w:rFonts w:ascii="Corbel" w:hAnsi="Corbel" w:cs="Calibri"/>
                <w:sz w:val="22"/>
                <w:szCs w:val="22"/>
              </w:rPr>
              <w:t xml:space="preserve"> (Denmark)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10</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132</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 xml:space="preserve">The </w:t>
            </w:r>
            <w:proofErr w:type="spellStart"/>
            <w:r>
              <w:rPr>
                <w:rFonts w:ascii="Corbel" w:hAnsi="Corbel" w:cs="Calibri"/>
                <w:color w:val="000000"/>
                <w:sz w:val="22"/>
                <w:szCs w:val="22"/>
              </w:rPr>
              <w:t>Leverhulme</w:t>
            </w:r>
            <w:proofErr w:type="spellEnd"/>
            <w:r>
              <w:rPr>
                <w:rFonts w:ascii="Corbel" w:hAnsi="Corbel" w:cs="Calibri"/>
                <w:color w:val="000000"/>
                <w:sz w:val="22"/>
                <w:szCs w:val="22"/>
              </w:rPr>
              <w:t xml:space="preserve"> Trust (UK)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11</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99</w:t>
            </w:r>
          </w:p>
        </w:tc>
        <w:tc>
          <w:tcPr>
            <w:tcW w:w="783" w:type="pct"/>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sz w:val="22"/>
                <w:szCs w:val="22"/>
              </w:rPr>
            </w:pPr>
            <w:r>
              <w:rPr>
                <w:rFonts w:ascii="Corbel" w:hAnsi="Corbel" w:cs="Calibri"/>
                <w:sz w:val="22"/>
                <w:szCs w:val="22"/>
              </w:rPr>
              <w:t xml:space="preserve">Deutsche </w:t>
            </w:r>
            <w:proofErr w:type="spellStart"/>
            <w:r>
              <w:rPr>
                <w:rFonts w:ascii="Corbel" w:hAnsi="Corbel" w:cs="Calibri"/>
                <w:sz w:val="22"/>
                <w:szCs w:val="22"/>
              </w:rPr>
              <w:t>Fernsehlotterie</w:t>
            </w:r>
            <w:proofErr w:type="spellEnd"/>
            <w:r>
              <w:rPr>
                <w:rFonts w:ascii="Corbel" w:hAnsi="Corbel" w:cs="Calibri"/>
                <w:sz w:val="22"/>
                <w:szCs w:val="22"/>
              </w:rPr>
              <w:t xml:space="preserve"> (Germany)</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12</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82</w:t>
            </w:r>
          </w:p>
        </w:tc>
        <w:tc>
          <w:tcPr>
            <w:tcW w:w="783" w:type="pct"/>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-19%</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Garfield Weston Foundation (UK)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13</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82</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7%</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 xml:space="preserve">The </w:t>
            </w:r>
            <w:proofErr w:type="spellStart"/>
            <w:r>
              <w:rPr>
                <w:rFonts w:ascii="Corbel" w:hAnsi="Corbel" w:cs="Calibri"/>
                <w:color w:val="000000"/>
                <w:sz w:val="22"/>
                <w:szCs w:val="22"/>
              </w:rPr>
              <w:t>Lundbeck</w:t>
            </w:r>
            <w:proofErr w:type="spellEnd"/>
            <w:r>
              <w:rPr>
                <w:rFonts w:ascii="Corbel" w:hAnsi="Corbel" w:cs="Calibri"/>
                <w:color w:val="000000"/>
                <w:sz w:val="22"/>
                <w:szCs w:val="22"/>
              </w:rPr>
              <w:t xml:space="preserve"> Foundation (Denmark)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14</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75</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5%</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Robert Bosch Foundation (Germany)</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15</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71</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4%</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r>
              <w:rPr>
                <w:rFonts w:ascii="Corbel" w:hAnsi="Corbel" w:cs="Calibri"/>
                <w:color w:val="000000"/>
                <w:sz w:val="22"/>
                <w:szCs w:val="22"/>
              </w:rPr>
              <w:t xml:space="preserve">Deutsche </w:t>
            </w:r>
            <w:proofErr w:type="spellStart"/>
            <w:r>
              <w:rPr>
                <w:rFonts w:ascii="Corbel" w:hAnsi="Corbel" w:cs="Calibri"/>
                <w:color w:val="000000"/>
                <w:sz w:val="22"/>
                <w:szCs w:val="22"/>
              </w:rPr>
              <w:t>Bundesstiftung</w:t>
            </w:r>
            <w:proofErr w:type="spellEnd"/>
            <w:r>
              <w:rPr>
                <w:rFonts w:ascii="Corbel" w:hAnsi="Corbel" w:cs="Calibri"/>
                <w:color w:val="000000"/>
                <w:sz w:val="22"/>
                <w:szCs w:val="22"/>
              </w:rPr>
              <w:t xml:space="preserve"> Umwelt (Germany)</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16</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58</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proofErr w:type="spellStart"/>
            <w:r>
              <w:rPr>
                <w:rFonts w:ascii="Corbel" w:hAnsi="Corbel" w:cs="Calibri"/>
                <w:color w:val="000000"/>
                <w:sz w:val="22"/>
                <w:szCs w:val="22"/>
              </w:rPr>
              <w:t>Stichting</w:t>
            </w:r>
            <w:proofErr w:type="spellEnd"/>
            <w:r>
              <w:rPr>
                <w:rFonts w:ascii="Corbel" w:hAnsi="Corbel" w:cs="Calibri"/>
                <w:color w:val="000000"/>
                <w:sz w:val="22"/>
                <w:szCs w:val="22"/>
              </w:rPr>
              <w:t xml:space="preserve"> </w:t>
            </w:r>
            <w:proofErr w:type="spellStart"/>
            <w:r>
              <w:rPr>
                <w:rFonts w:ascii="Corbel" w:hAnsi="Corbel" w:cs="Calibri"/>
                <w:color w:val="000000"/>
                <w:sz w:val="22"/>
                <w:szCs w:val="22"/>
              </w:rPr>
              <w:t>Benevolentia</w:t>
            </w:r>
            <w:proofErr w:type="spellEnd"/>
            <w:r>
              <w:rPr>
                <w:rFonts w:ascii="Corbel" w:hAnsi="Corbel" w:cs="Calibri"/>
                <w:color w:val="000000"/>
                <w:sz w:val="22"/>
                <w:szCs w:val="22"/>
              </w:rPr>
              <w:t xml:space="preserve"> (Netherlands)</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17</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56</w:t>
            </w:r>
          </w:p>
        </w:tc>
        <w:tc>
          <w:tcPr>
            <w:tcW w:w="783" w:type="pct"/>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2%</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sz w:val="22"/>
                <w:szCs w:val="22"/>
              </w:rPr>
            </w:pPr>
            <w:proofErr w:type="spellStart"/>
            <w:r>
              <w:rPr>
                <w:rFonts w:ascii="Corbel" w:hAnsi="Corbel" w:cs="Calibri"/>
                <w:sz w:val="22"/>
                <w:szCs w:val="22"/>
              </w:rPr>
              <w:t>Esmée</w:t>
            </w:r>
            <w:proofErr w:type="spellEnd"/>
            <w:r>
              <w:rPr>
                <w:rFonts w:ascii="Corbel" w:hAnsi="Corbel" w:cs="Calibri"/>
                <w:sz w:val="22"/>
                <w:szCs w:val="22"/>
              </w:rPr>
              <w:t xml:space="preserve"> Fairbairn Foundation (UK)</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18</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52</w:t>
            </w:r>
          </w:p>
        </w:tc>
        <w:tc>
          <w:tcPr>
            <w:tcW w:w="783" w:type="pct"/>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-4%</w:t>
            </w:r>
          </w:p>
        </w:tc>
      </w:tr>
      <w:tr w:rsidR="00B64960" w:rsidTr="00B64960">
        <w:trPr>
          <w:trHeight w:val="280"/>
        </w:trPr>
        <w:tc>
          <w:tcPr>
            <w:tcW w:w="2499" w:type="pct"/>
            <w:noWrap/>
            <w:vAlign w:val="bottom"/>
            <w:hideMark/>
          </w:tcPr>
          <w:p w:rsidR="00B64960" w:rsidRDefault="00B64960">
            <w:pPr>
              <w:spacing w:line="276" w:lineRule="auto"/>
              <w:rPr>
                <w:rFonts w:ascii="Corbel" w:hAnsi="Corbel" w:cs="Calibri"/>
                <w:color w:val="000000"/>
                <w:sz w:val="22"/>
                <w:szCs w:val="22"/>
              </w:rPr>
            </w:pPr>
            <w:proofErr w:type="spellStart"/>
            <w:r>
              <w:rPr>
                <w:rFonts w:ascii="Corbel" w:hAnsi="Corbel" w:cs="Calibri"/>
                <w:color w:val="000000"/>
                <w:sz w:val="22"/>
                <w:szCs w:val="22"/>
              </w:rPr>
              <w:t>Riksbankens</w:t>
            </w:r>
            <w:proofErr w:type="spellEnd"/>
            <w:r>
              <w:rPr>
                <w:rFonts w:ascii="Corbel" w:hAnsi="Corbel" w:cs="Calibri"/>
                <w:color w:val="000000"/>
                <w:sz w:val="22"/>
                <w:szCs w:val="22"/>
              </w:rPr>
              <w:t xml:space="preserve"> </w:t>
            </w:r>
            <w:proofErr w:type="spellStart"/>
            <w:r>
              <w:rPr>
                <w:rFonts w:ascii="Corbel" w:hAnsi="Corbel" w:cs="Calibri"/>
                <w:color w:val="000000"/>
                <w:sz w:val="22"/>
                <w:szCs w:val="22"/>
              </w:rPr>
              <w:t>Jubileumsfond</w:t>
            </w:r>
            <w:proofErr w:type="spellEnd"/>
            <w:r>
              <w:rPr>
                <w:rFonts w:ascii="Corbel" w:hAnsi="Corbel" w:cs="Calibri"/>
                <w:color w:val="000000"/>
                <w:sz w:val="22"/>
                <w:szCs w:val="22"/>
              </w:rPr>
              <w:t xml:space="preserve"> (Sweden)</w:t>
            </w:r>
          </w:p>
        </w:tc>
        <w:tc>
          <w:tcPr>
            <w:tcW w:w="36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19</w:t>
            </w:r>
          </w:p>
        </w:tc>
        <w:tc>
          <w:tcPr>
            <w:tcW w:w="1348" w:type="pct"/>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50</w:t>
            </w:r>
          </w:p>
        </w:tc>
        <w:tc>
          <w:tcPr>
            <w:tcW w:w="783" w:type="pct"/>
            <w:noWrap/>
            <w:vAlign w:val="bottom"/>
            <w:hideMark/>
          </w:tcPr>
          <w:p w:rsidR="00B64960" w:rsidRDefault="00B64960">
            <w:pPr>
              <w:spacing w:line="276" w:lineRule="auto"/>
              <w:jc w:val="right"/>
              <w:rPr>
                <w:rFonts w:ascii="Corbel" w:hAnsi="Corbel" w:cs="Calibri"/>
                <w:i/>
                <w:iCs/>
                <w:color w:val="FF0000"/>
                <w:sz w:val="22"/>
                <w:szCs w:val="22"/>
              </w:rPr>
            </w:pPr>
            <w:r>
              <w:rPr>
                <w:rFonts w:ascii="Corbel" w:hAnsi="Corbel" w:cs="Calibri"/>
                <w:i/>
                <w:iCs/>
                <w:color w:val="FF0000"/>
                <w:sz w:val="22"/>
                <w:szCs w:val="22"/>
              </w:rPr>
              <w:t>-2%</w:t>
            </w:r>
          </w:p>
        </w:tc>
      </w:tr>
      <w:tr w:rsidR="00B64960" w:rsidTr="00B64960">
        <w:trPr>
          <w:trHeight w:val="280"/>
        </w:trPr>
        <w:tc>
          <w:tcPr>
            <w:tcW w:w="2499" w:type="pct"/>
            <w:tcBorders>
              <w:top w:val="nil"/>
              <w:left w:val="nil"/>
              <w:bottom w:val="single" w:sz="4" w:space="0" w:color="auto"/>
              <w:right w:val="nil"/>
            </w:tcBorders>
            <w:noWrap/>
            <w:vAlign w:val="bottom"/>
            <w:hideMark/>
          </w:tcPr>
          <w:p w:rsidR="00B64960" w:rsidRDefault="00B64960">
            <w:pPr>
              <w:spacing w:line="276" w:lineRule="auto"/>
              <w:rPr>
                <w:rFonts w:ascii="Corbel" w:hAnsi="Corbel" w:cs="Calibri"/>
                <w:sz w:val="22"/>
                <w:szCs w:val="22"/>
              </w:rPr>
            </w:pPr>
            <w:r>
              <w:rPr>
                <w:rFonts w:ascii="Corbel" w:hAnsi="Corbel" w:cs="Calibri"/>
                <w:sz w:val="22"/>
                <w:szCs w:val="22"/>
              </w:rPr>
              <w:t>Henry Smith Charity (UK)</w:t>
            </w:r>
          </w:p>
        </w:tc>
        <w:tc>
          <w:tcPr>
            <w:tcW w:w="369" w:type="pct"/>
            <w:tcBorders>
              <w:top w:val="nil"/>
              <w:left w:val="nil"/>
              <w:bottom w:val="single" w:sz="4" w:space="0" w:color="auto"/>
              <w:right w:val="nil"/>
            </w:tcBorders>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20</w:t>
            </w:r>
          </w:p>
        </w:tc>
        <w:tc>
          <w:tcPr>
            <w:tcW w:w="1348" w:type="pct"/>
            <w:tcBorders>
              <w:top w:val="nil"/>
              <w:left w:val="nil"/>
              <w:bottom w:val="single" w:sz="4" w:space="0" w:color="auto"/>
              <w:right w:val="nil"/>
            </w:tcBorders>
            <w:noWrap/>
            <w:vAlign w:val="bottom"/>
            <w:hideMark/>
          </w:tcPr>
          <w:p w:rsidR="00B64960" w:rsidRDefault="00B64960">
            <w:pPr>
              <w:spacing w:line="276" w:lineRule="auto"/>
              <w:jc w:val="right"/>
              <w:rPr>
                <w:rFonts w:ascii="Corbel" w:hAnsi="Corbel" w:cs="Calibri"/>
                <w:bCs/>
                <w:sz w:val="22"/>
                <w:szCs w:val="22"/>
              </w:rPr>
            </w:pPr>
            <w:r>
              <w:rPr>
                <w:rFonts w:ascii="Corbel" w:hAnsi="Corbel" w:cs="Calibri"/>
                <w:bCs/>
                <w:sz w:val="22"/>
                <w:szCs w:val="22"/>
              </w:rPr>
              <w:t>40</w:t>
            </w:r>
          </w:p>
        </w:tc>
        <w:tc>
          <w:tcPr>
            <w:tcW w:w="783" w:type="pct"/>
            <w:tcBorders>
              <w:top w:val="nil"/>
              <w:left w:val="nil"/>
              <w:bottom w:val="single" w:sz="4" w:space="0" w:color="auto"/>
              <w:right w:val="nil"/>
            </w:tcBorders>
            <w:noWrap/>
            <w:vAlign w:val="bottom"/>
            <w:hideMark/>
          </w:tcPr>
          <w:p w:rsidR="00B64960" w:rsidRDefault="00B64960">
            <w:pPr>
              <w:spacing w:line="276" w:lineRule="auto"/>
              <w:jc w:val="right"/>
              <w:rPr>
                <w:rFonts w:ascii="Corbel" w:hAnsi="Corbel" w:cs="Calibri"/>
                <w:i/>
                <w:iCs/>
                <w:color w:val="00B050"/>
                <w:sz w:val="22"/>
                <w:szCs w:val="22"/>
              </w:rPr>
            </w:pPr>
            <w:r>
              <w:rPr>
                <w:rFonts w:ascii="Corbel" w:hAnsi="Corbel" w:cs="Calibri"/>
                <w:i/>
                <w:iCs/>
                <w:color w:val="00B050"/>
                <w:sz w:val="22"/>
                <w:szCs w:val="22"/>
              </w:rPr>
              <w:t>10%</w:t>
            </w:r>
          </w:p>
        </w:tc>
      </w:tr>
    </w:tbl>
    <w:p w:rsidR="00B64960" w:rsidRDefault="00B64960" w:rsidP="00B64960">
      <w:pPr>
        <w:spacing w:line="276" w:lineRule="auto"/>
        <w:jc w:val="both"/>
        <w:rPr>
          <w:rFonts w:ascii="Corbel" w:hAnsi="Corbel"/>
          <w:sz w:val="20"/>
          <w:szCs w:val="22"/>
        </w:rPr>
      </w:pPr>
      <w:r>
        <w:rPr>
          <w:rFonts w:ascii="Corbel" w:hAnsi="Corbel"/>
          <w:sz w:val="20"/>
          <w:szCs w:val="22"/>
        </w:rPr>
        <w:t>* Increase or decrease in grants funded compared to 2016, in original currency</w:t>
      </w:r>
      <w:r>
        <w:rPr>
          <w:rFonts w:ascii="Corbel" w:hAnsi="Corbel"/>
          <w:bCs/>
          <w:i/>
          <w:sz w:val="20"/>
          <w:szCs w:val="22"/>
        </w:rPr>
        <w:t xml:space="preserve"> </w:t>
      </w:r>
    </w:p>
    <w:p w:rsidR="00B64960" w:rsidRDefault="00B64960" w:rsidP="00B64960">
      <w:pPr>
        <w:spacing w:after="200" w:line="276" w:lineRule="auto"/>
        <w:rPr>
          <w:rFonts w:ascii="Corbel" w:hAnsi="Corbel"/>
          <w:i/>
          <w:sz w:val="22"/>
          <w:szCs w:val="22"/>
          <w:u w:val="single"/>
        </w:rPr>
      </w:pPr>
    </w:p>
    <w:p w:rsidR="00B64960" w:rsidRDefault="00B64960" w:rsidP="00B64960">
      <w:pPr>
        <w:spacing w:line="276" w:lineRule="auto"/>
        <w:rPr>
          <w:rFonts w:ascii="Calibri" w:hAnsi="Calibri" w:cs="Calibri"/>
          <w:sz w:val="22"/>
          <w:szCs w:val="22"/>
          <w:u w:val="single"/>
        </w:rPr>
      </w:pPr>
      <w:r>
        <w:rPr>
          <w:rFonts w:ascii="Corbel" w:hAnsi="Corbel"/>
          <w:i/>
          <w:sz w:val="22"/>
          <w:szCs w:val="22"/>
          <w:u w:val="single"/>
        </w:rPr>
        <w:t>Top 5 C</w:t>
      </w:r>
      <w:r>
        <w:rPr>
          <w:rFonts w:ascii="Calibri" w:hAnsi="Calibri" w:cs="Calibri"/>
          <w:sz w:val="22"/>
          <w:szCs w:val="22"/>
          <w:u w:val="single"/>
        </w:rPr>
        <w:t>umulative amounts donated in the past 5 years</w:t>
      </w:r>
    </w:p>
    <w:p w:rsidR="00B64960" w:rsidRDefault="00B64960" w:rsidP="00B64960">
      <w:pPr>
        <w:spacing w:line="276" w:lineRule="auto"/>
        <w:rPr>
          <w:rFonts w:ascii="Corbel" w:hAnsi="Corbel"/>
          <w:i/>
          <w:sz w:val="22"/>
          <w:szCs w:val="22"/>
          <w:u w:val="single"/>
        </w:rPr>
      </w:pPr>
    </w:p>
    <w:tbl>
      <w:tblPr>
        <w:tblW w:w="5000" w:type="pct"/>
        <w:tblLook w:val="04A0" w:firstRow="1" w:lastRow="0" w:firstColumn="1" w:lastColumn="0" w:noHBand="0" w:noVBand="1"/>
      </w:tblPr>
      <w:tblGrid>
        <w:gridCol w:w="4049"/>
        <w:gridCol w:w="363"/>
        <w:gridCol w:w="4660"/>
      </w:tblGrid>
      <w:tr w:rsidR="00B64960" w:rsidRPr="00B64960" w:rsidTr="00B64960">
        <w:trPr>
          <w:trHeight w:val="280"/>
        </w:trPr>
        <w:tc>
          <w:tcPr>
            <w:tcW w:w="2448" w:type="pct"/>
            <w:tcBorders>
              <w:top w:val="single" w:sz="4" w:space="0" w:color="auto"/>
              <w:left w:val="nil"/>
              <w:bottom w:val="single" w:sz="4" w:space="0" w:color="auto"/>
              <w:right w:val="nil"/>
            </w:tcBorders>
            <w:noWrap/>
            <w:hideMark/>
          </w:tcPr>
          <w:p w:rsidR="00B64960" w:rsidRDefault="00B64960">
            <w:pPr>
              <w:spacing w:line="276" w:lineRule="auto"/>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 xml:space="preserve">Foundation Name </w:t>
            </w:r>
          </w:p>
        </w:tc>
        <w:tc>
          <w:tcPr>
            <w:tcW w:w="319" w:type="pct"/>
            <w:tcBorders>
              <w:top w:val="single" w:sz="4" w:space="0" w:color="auto"/>
              <w:left w:val="nil"/>
              <w:bottom w:val="single" w:sz="4" w:space="0" w:color="auto"/>
              <w:right w:val="nil"/>
            </w:tcBorders>
            <w:noWrap/>
            <w:hideMark/>
          </w:tcPr>
          <w:p w:rsidR="00B64960" w:rsidRDefault="00B64960">
            <w:pPr>
              <w:spacing w:line="276" w:lineRule="auto"/>
              <w:jc w:val="center"/>
              <w:rPr>
                <w:rFonts w:ascii="Corbel" w:eastAsia="Times New Roman" w:hAnsi="Corbel"/>
                <w:b/>
                <w:color w:val="000000"/>
                <w:sz w:val="22"/>
                <w:szCs w:val="22"/>
                <w:lang w:val="nl-NL" w:eastAsia="en-US"/>
              </w:rPr>
            </w:pPr>
            <w:r>
              <w:rPr>
                <w:rFonts w:ascii="Corbel" w:eastAsia="Times New Roman" w:hAnsi="Corbel"/>
                <w:b/>
                <w:color w:val="000000"/>
                <w:sz w:val="22"/>
                <w:szCs w:val="22"/>
                <w:lang w:val="nl-NL" w:eastAsia="en-US"/>
              </w:rPr>
              <w:t>#</w:t>
            </w:r>
          </w:p>
        </w:tc>
        <w:tc>
          <w:tcPr>
            <w:tcW w:w="2233" w:type="pct"/>
            <w:tcBorders>
              <w:top w:val="single" w:sz="4" w:space="0" w:color="auto"/>
              <w:left w:val="nil"/>
              <w:bottom w:val="single" w:sz="4" w:space="0" w:color="auto"/>
              <w:right w:val="nil"/>
            </w:tcBorders>
            <w:noWrap/>
            <w:vAlign w:val="center"/>
            <w:hideMark/>
          </w:tcPr>
          <w:p w:rsidR="00B64960" w:rsidRDefault="00B64960">
            <w:pPr>
              <w:spacing w:line="276" w:lineRule="auto"/>
              <w:jc w:val="right"/>
              <w:rPr>
                <w:rFonts w:ascii="Corbel" w:eastAsia="Times New Roman" w:hAnsi="Corbel"/>
                <w:b/>
                <w:color w:val="000000"/>
                <w:sz w:val="22"/>
                <w:szCs w:val="22"/>
                <w:lang w:eastAsia="en-US"/>
              </w:rPr>
            </w:pPr>
            <w:r>
              <w:rPr>
                <w:rFonts w:ascii="Calibri" w:hAnsi="Calibri" w:cs="Calibri"/>
                <w:b/>
                <w:bCs/>
                <w:color w:val="000000"/>
                <w:sz w:val="22"/>
                <w:szCs w:val="22"/>
              </w:rPr>
              <w:t>Cumulative amount 2013-2017 in USD (x million)</w:t>
            </w:r>
          </w:p>
        </w:tc>
      </w:tr>
      <w:tr w:rsidR="00B64960" w:rsidTr="00B64960">
        <w:trPr>
          <w:trHeight w:val="280"/>
        </w:trPr>
        <w:tc>
          <w:tcPr>
            <w:tcW w:w="2448" w:type="pct"/>
            <w:noWrap/>
            <w:vAlign w:val="bottom"/>
            <w:hideMark/>
          </w:tcPr>
          <w:p w:rsidR="00B64960" w:rsidRDefault="00B64960">
            <w:pPr>
              <w:spacing w:line="276" w:lineRule="auto"/>
              <w:rPr>
                <w:rFonts w:ascii="Calibri" w:eastAsia="Times New Roman" w:hAnsi="Calibri" w:cs="Calibri"/>
                <w:color w:val="000000"/>
                <w:sz w:val="22"/>
                <w:szCs w:val="22"/>
                <w:lang w:eastAsia="nl-NL"/>
              </w:rPr>
            </w:pPr>
            <w:r>
              <w:rPr>
                <w:rFonts w:ascii="Calibri" w:hAnsi="Calibri" w:cs="Calibri"/>
                <w:color w:val="000000"/>
                <w:sz w:val="22"/>
                <w:szCs w:val="22"/>
              </w:rPr>
              <w:t>Bill and Melinda Gates Foundation</w:t>
            </w:r>
          </w:p>
        </w:tc>
        <w:tc>
          <w:tcPr>
            <w:tcW w:w="319" w:type="pct"/>
            <w:noWrap/>
            <w:vAlign w:val="bottom"/>
            <w:hideMark/>
          </w:tcPr>
          <w:p w:rsidR="00B64960" w:rsidRDefault="00B64960">
            <w:pPr>
              <w:spacing w:line="276" w:lineRule="auto"/>
              <w:jc w:val="center"/>
              <w:rPr>
                <w:rFonts w:ascii="Corbel" w:eastAsia="Times New Roman" w:hAnsi="Corbel" w:cs="Calibri"/>
                <w:color w:val="000000"/>
                <w:sz w:val="22"/>
                <w:szCs w:val="22"/>
                <w:lang w:eastAsia="nl-NL"/>
              </w:rPr>
            </w:pPr>
            <w:r>
              <w:rPr>
                <w:rFonts w:ascii="Corbel" w:hAnsi="Corbel" w:cs="Calibri"/>
                <w:color w:val="000000"/>
                <w:sz w:val="22"/>
                <w:szCs w:val="22"/>
              </w:rPr>
              <w:t>1</w:t>
            </w:r>
          </w:p>
        </w:tc>
        <w:tc>
          <w:tcPr>
            <w:tcW w:w="2233" w:type="pct"/>
            <w:noWrap/>
            <w:vAlign w:val="bottom"/>
            <w:hideMark/>
          </w:tcPr>
          <w:p w:rsidR="00B64960" w:rsidRDefault="00B64960">
            <w:pPr>
              <w:spacing w:line="276" w:lineRule="auto"/>
              <w:jc w:val="right"/>
              <w:rPr>
                <w:rFonts w:ascii="Calibri" w:eastAsia="Times New Roman" w:hAnsi="Calibri" w:cs="Calibri"/>
                <w:color w:val="000000"/>
                <w:sz w:val="22"/>
                <w:szCs w:val="22"/>
                <w:lang w:eastAsia="nl-NL"/>
              </w:rPr>
            </w:pPr>
            <w:r>
              <w:rPr>
                <w:rFonts w:ascii="Calibri" w:hAnsi="Calibri" w:cs="Calibri"/>
                <w:color w:val="000000"/>
                <w:sz w:val="22"/>
                <w:szCs w:val="22"/>
              </w:rPr>
              <w:t>22968</w:t>
            </w:r>
          </w:p>
        </w:tc>
      </w:tr>
      <w:tr w:rsidR="00B64960" w:rsidTr="00B64960">
        <w:trPr>
          <w:trHeight w:val="280"/>
        </w:trPr>
        <w:tc>
          <w:tcPr>
            <w:tcW w:w="2448" w:type="pct"/>
            <w:noWrap/>
            <w:vAlign w:val="bottom"/>
            <w:hideMark/>
          </w:tcPr>
          <w:p w:rsidR="00B64960" w:rsidRDefault="00B64960">
            <w:pPr>
              <w:spacing w:line="276" w:lineRule="auto"/>
              <w:rPr>
                <w:rFonts w:ascii="Calibri" w:hAnsi="Calibri" w:cs="Calibri"/>
                <w:color w:val="000000"/>
                <w:sz w:val="22"/>
                <w:szCs w:val="22"/>
              </w:rPr>
            </w:pPr>
            <w:proofErr w:type="spellStart"/>
            <w:r>
              <w:rPr>
                <w:rFonts w:ascii="Calibri" w:hAnsi="Calibri" w:cs="Calibri"/>
                <w:color w:val="000000"/>
                <w:sz w:val="22"/>
                <w:szCs w:val="22"/>
              </w:rPr>
              <w:t>Wellcome</w:t>
            </w:r>
            <w:proofErr w:type="spellEnd"/>
            <w:r>
              <w:rPr>
                <w:rFonts w:ascii="Calibri" w:hAnsi="Calibri" w:cs="Calibri"/>
                <w:color w:val="000000"/>
                <w:sz w:val="22"/>
                <w:szCs w:val="22"/>
              </w:rPr>
              <w:t xml:space="preserve"> Trust</w:t>
            </w:r>
          </w:p>
        </w:tc>
        <w:tc>
          <w:tcPr>
            <w:tcW w:w="31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2</w:t>
            </w:r>
          </w:p>
        </w:tc>
        <w:tc>
          <w:tcPr>
            <w:tcW w:w="2233" w:type="pct"/>
            <w:noWrap/>
            <w:vAlign w:val="bottom"/>
            <w:hideMark/>
          </w:tcPr>
          <w:p w:rsidR="00B64960" w:rsidRDefault="00B64960">
            <w:pPr>
              <w:spacing w:line="276" w:lineRule="auto"/>
              <w:jc w:val="right"/>
              <w:rPr>
                <w:rFonts w:ascii="Calibri" w:hAnsi="Calibri" w:cs="Calibri"/>
                <w:color w:val="000000"/>
                <w:sz w:val="22"/>
                <w:szCs w:val="22"/>
              </w:rPr>
            </w:pPr>
            <w:r>
              <w:rPr>
                <w:rFonts w:ascii="Calibri" w:hAnsi="Calibri" w:cs="Calibri"/>
                <w:color w:val="000000"/>
                <w:sz w:val="22"/>
                <w:szCs w:val="22"/>
              </w:rPr>
              <w:t>4842</w:t>
            </w:r>
          </w:p>
        </w:tc>
      </w:tr>
      <w:tr w:rsidR="00B64960" w:rsidTr="00B64960">
        <w:trPr>
          <w:trHeight w:val="280"/>
        </w:trPr>
        <w:tc>
          <w:tcPr>
            <w:tcW w:w="2448" w:type="pct"/>
            <w:noWrap/>
            <w:vAlign w:val="bottom"/>
            <w:hideMark/>
          </w:tcPr>
          <w:p w:rsidR="00B64960" w:rsidRDefault="00B64960">
            <w:pPr>
              <w:spacing w:line="276" w:lineRule="auto"/>
              <w:rPr>
                <w:rFonts w:ascii="Calibri" w:hAnsi="Calibri" w:cs="Calibri"/>
                <w:color w:val="000000"/>
                <w:sz w:val="22"/>
                <w:szCs w:val="22"/>
              </w:rPr>
            </w:pPr>
            <w:proofErr w:type="spellStart"/>
            <w:r>
              <w:rPr>
                <w:rFonts w:ascii="Calibri" w:hAnsi="Calibri" w:cs="Calibri"/>
                <w:color w:val="000000"/>
                <w:sz w:val="22"/>
                <w:szCs w:val="22"/>
              </w:rPr>
              <w:t>Novamedia</w:t>
            </w:r>
            <w:proofErr w:type="spellEnd"/>
          </w:p>
        </w:tc>
        <w:tc>
          <w:tcPr>
            <w:tcW w:w="31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3</w:t>
            </w:r>
          </w:p>
        </w:tc>
        <w:tc>
          <w:tcPr>
            <w:tcW w:w="2233" w:type="pct"/>
            <w:noWrap/>
            <w:vAlign w:val="bottom"/>
            <w:hideMark/>
          </w:tcPr>
          <w:p w:rsidR="00B64960" w:rsidRDefault="00B64960">
            <w:pPr>
              <w:spacing w:line="276" w:lineRule="auto"/>
              <w:jc w:val="right"/>
              <w:rPr>
                <w:rFonts w:ascii="Calibri" w:hAnsi="Calibri" w:cs="Calibri"/>
                <w:color w:val="000000"/>
                <w:sz w:val="22"/>
                <w:szCs w:val="22"/>
              </w:rPr>
            </w:pPr>
            <w:r>
              <w:rPr>
                <w:rFonts w:ascii="Calibri" w:hAnsi="Calibri" w:cs="Calibri"/>
                <w:color w:val="000000"/>
                <w:sz w:val="22"/>
                <w:szCs w:val="22"/>
              </w:rPr>
              <w:t>3732</w:t>
            </w:r>
          </w:p>
        </w:tc>
      </w:tr>
      <w:tr w:rsidR="00B64960" w:rsidTr="00B64960">
        <w:trPr>
          <w:trHeight w:val="280"/>
        </w:trPr>
        <w:tc>
          <w:tcPr>
            <w:tcW w:w="2448" w:type="pct"/>
            <w:noWrap/>
            <w:vAlign w:val="bottom"/>
            <w:hideMark/>
          </w:tcPr>
          <w:p w:rsidR="00B64960" w:rsidRDefault="00B64960">
            <w:pPr>
              <w:spacing w:line="276" w:lineRule="auto"/>
              <w:rPr>
                <w:rFonts w:ascii="Calibri" w:hAnsi="Calibri" w:cs="Calibri"/>
                <w:color w:val="000000"/>
                <w:sz w:val="22"/>
                <w:szCs w:val="22"/>
              </w:rPr>
            </w:pPr>
            <w:r>
              <w:rPr>
                <w:rFonts w:ascii="Calibri" w:hAnsi="Calibri" w:cs="Calibri"/>
                <w:color w:val="000000"/>
                <w:sz w:val="22"/>
                <w:szCs w:val="22"/>
              </w:rPr>
              <w:t>Ford Foundation</w:t>
            </w:r>
          </w:p>
        </w:tc>
        <w:tc>
          <w:tcPr>
            <w:tcW w:w="319" w:type="pct"/>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4</w:t>
            </w:r>
          </w:p>
        </w:tc>
        <w:tc>
          <w:tcPr>
            <w:tcW w:w="2233" w:type="pct"/>
            <w:noWrap/>
            <w:vAlign w:val="bottom"/>
            <w:hideMark/>
          </w:tcPr>
          <w:p w:rsidR="00B64960" w:rsidRDefault="00B64960">
            <w:pPr>
              <w:spacing w:line="276" w:lineRule="auto"/>
              <w:jc w:val="right"/>
              <w:rPr>
                <w:rFonts w:ascii="Calibri" w:hAnsi="Calibri" w:cs="Calibri"/>
                <w:color w:val="000000"/>
                <w:sz w:val="22"/>
                <w:szCs w:val="22"/>
              </w:rPr>
            </w:pPr>
            <w:r>
              <w:rPr>
                <w:rFonts w:ascii="Calibri" w:hAnsi="Calibri" w:cs="Calibri"/>
                <w:color w:val="000000"/>
                <w:sz w:val="22"/>
                <w:szCs w:val="22"/>
              </w:rPr>
              <w:t>2810</w:t>
            </w:r>
          </w:p>
        </w:tc>
      </w:tr>
      <w:tr w:rsidR="00B64960" w:rsidTr="00B64960">
        <w:trPr>
          <w:trHeight w:val="280"/>
        </w:trPr>
        <w:tc>
          <w:tcPr>
            <w:tcW w:w="2448" w:type="pct"/>
            <w:tcBorders>
              <w:top w:val="nil"/>
              <w:left w:val="nil"/>
              <w:bottom w:val="single" w:sz="4" w:space="0" w:color="auto"/>
              <w:right w:val="nil"/>
            </w:tcBorders>
            <w:noWrap/>
            <w:vAlign w:val="bottom"/>
            <w:hideMark/>
          </w:tcPr>
          <w:p w:rsidR="00B64960" w:rsidRDefault="00B64960">
            <w:pPr>
              <w:spacing w:line="276" w:lineRule="auto"/>
              <w:rPr>
                <w:rFonts w:ascii="Calibri" w:hAnsi="Calibri" w:cs="Calibri"/>
                <w:color w:val="000000"/>
                <w:sz w:val="22"/>
                <w:szCs w:val="22"/>
              </w:rPr>
            </w:pPr>
            <w:r>
              <w:rPr>
                <w:rFonts w:ascii="Calibri" w:hAnsi="Calibri" w:cs="Calibri"/>
                <w:color w:val="000000"/>
                <w:sz w:val="22"/>
                <w:szCs w:val="22"/>
              </w:rPr>
              <w:t>Hong Kong Jockey Club</w:t>
            </w:r>
          </w:p>
        </w:tc>
        <w:tc>
          <w:tcPr>
            <w:tcW w:w="319" w:type="pct"/>
            <w:tcBorders>
              <w:top w:val="nil"/>
              <w:left w:val="nil"/>
              <w:bottom w:val="single" w:sz="4" w:space="0" w:color="auto"/>
              <w:right w:val="nil"/>
            </w:tcBorders>
            <w:noWrap/>
            <w:vAlign w:val="bottom"/>
            <w:hideMark/>
          </w:tcPr>
          <w:p w:rsidR="00B64960" w:rsidRDefault="00B64960">
            <w:pPr>
              <w:spacing w:line="276" w:lineRule="auto"/>
              <w:jc w:val="center"/>
              <w:rPr>
                <w:rFonts w:ascii="Corbel" w:hAnsi="Corbel" w:cs="Calibri"/>
                <w:color w:val="000000"/>
                <w:sz w:val="22"/>
                <w:szCs w:val="22"/>
              </w:rPr>
            </w:pPr>
            <w:r>
              <w:rPr>
                <w:rFonts w:ascii="Corbel" w:hAnsi="Corbel" w:cs="Calibri"/>
                <w:color w:val="000000"/>
                <w:sz w:val="22"/>
                <w:szCs w:val="22"/>
              </w:rPr>
              <w:t>5</w:t>
            </w:r>
          </w:p>
        </w:tc>
        <w:tc>
          <w:tcPr>
            <w:tcW w:w="2233" w:type="pct"/>
            <w:tcBorders>
              <w:top w:val="nil"/>
              <w:left w:val="nil"/>
              <w:bottom w:val="single" w:sz="4" w:space="0" w:color="auto"/>
              <w:right w:val="nil"/>
            </w:tcBorders>
            <w:noWrap/>
            <w:vAlign w:val="bottom"/>
            <w:hideMark/>
          </w:tcPr>
          <w:p w:rsidR="00B64960" w:rsidRDefault="00B64960">
            <w:pPr>
              <w:spacing w:line="276" w:lineRule="auto"/>
              <w:jc w:val="right"/>
              <w:rPr>
                <w:rFonts w:ascii="Calibri" w:hAnsi="Calibri" w:cs="Calibri"/>
                <w:color w:val="000000"/>
                <w:sz w:val="22"/>
                <w:szCs w:val="22"/>
              </w:rPr>
            </w:pPr>
            <w:r>
              <w:rPr>
                <w:rFonts w:ascii="Calibri" w:hAnsi="Calibri" w:cs="Calibri"/>
                <w:color w:val="000000"/>
                <w:sz w:val="22"/>
                <w:szCs w:val="22"/>
              </w:rPr>
              <w:t>2694</w:t>
            </w:r>
          </w:p>
        </w:tc>
      </w:tr>
    </w:tbl>
    <w:p w:rsidR="00B64960" w:rsidRDefault="00B64960" w:rsidP="00B64960">
      <w:pPr>
        <w:spacing w:line="276" w:lineRule="auto"/>
        <w:rPr>
          <w:rFonts w:ascii="Corbel" w:hAnsi="Corbel"/>
          <w:i/>
          <w:sz w:val="22"/>
          <w:szCs w:val="22"/>
          <w:u w:val="single"/>
        </w:rPr>
      </w:pPr>
    </w:p>
    <w:p w:rsidR="00B64960" w:rsidRDefault="00B64960" w:rsidP="00B64960">
      <w:pPr>
        <w:spacing w:line="276" w:lineRule="auto"/>
        <w:jc w:val="both"/>
        <w:rPr>
          <w:rFonts w:ascii="Corbel" w:hAnsi="Corbel"/>
          <w:sz w:val="22"/>
          <w:szCs w:val="22"/>
        </w:rPr>
      </w:pPr>
      <w:r>
        <w:rPr>
          <w:rFonts w:ascii="Corbel" w:hAnsi="Corbel"/>
          <w:sz w:val="22"/>
          <w:szCs w:val="22"/>
        </w:rPr>
        <w:br/>
      </w:r>
    </w:p>
    <w:p w:rsidR="00B64960" w:rsidRDefault="00B64960" w:rsidP="00B64960">
      <w:pPr>
        <w:spacing w:line="276" w:lineRule="auto"/>
        <w:rPr>
          <w:rFonts w:ascii="Corbel" w:hAnsi="Corbel"/>
          <w:i/>
          <w:sz w:val="22"/>
          <w:szCs w:val="22"/>
          <w:u w:val="single"/>
        </w:rPr>
      </w:pPr>
    </w:p>
    <w:p w:rsidR="009B030C" w:rsidRPr="007412FF" w:rsidRDefault="009B030C" w:rsidP="007412FF">
      <w:pPr>
        <w:spacing w:after="200" w:line="276" w:lineRule="auto"/>
        <w:rPr>
          <w:rFonts w:ascii="Corbel" w:hAnsi="Corbel"/>
          <w:sz w:val="22"/>
          <w:szCs w:val="22"/>
        </w:rPr>
      </w:pPr>
    </w:p>
    <w:sectPr w:rsidR="009B030C" w:rsidRPr="007412FF" w:rsidSect="00D51E9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91" w:rsidRDefault="002F4A91" w:rsidP="00537BFE">
      <w:r>
        <w:separator/>
      </w:r>
    </w:p>
  </w:endnote>
  <w:endnote w:type="continuationSeparator" w:id="0">
    <w:p w:rsidR="002F4A91" w:rsidRDefault="002F4A91" w:rsidP="0053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91" w:rsidRDefault="002F4A91" w:rsidP="00537BFE">
      <w:r>
        <w:separator/>
      </w:r>
    </w:p>
  </w:footnote>
  <w:footnote w:type="continuationSeparator" w:id="0">
    <w:p w:rsidR="002F4A91" w:rsidRDefault="002F4A91" w:rsidP="00537BFE">
      <w:r>
        <w:continuationSeparator/>
      </w:r>
    </w:p>
  </w:footnote>
  <w:footnote w:id="1">
    <w:p w:rsidR="0034089A" w:rsidRPr="00E20F70" w:rsidRDefault="0034089A" w:rsidP="0035162E">
      <w:pPr>
        <w:pStyle w:val="FootnoteText"/>
        <w:jc w:val="both"/>
        <w:rPr>
          <w:rFonts w:ascii="Corbel" w:hAnsi="Corbel"/>
        </w:rPr>
      </w:pPr>
      <w:r w:rsidRPr="00E20F70">
        <w:rPr>
          <w:rStyle w:val="FootnoteReference"/>
          <w:rFonts w:ascii="Corbel" w:hAnsi="Corbel"/>
          <w:sz w:val="18"/>
        </w:rPr>
        <w:footnoteRef/>
      </w:r>
      <w:r w:rsidRPr="00E20F70">
        <w:rPr>
          <w:rFonts w:ascii="Corbel" w:hAnsi="Corbel"/>
          <w:sz w:val="18"/>
        </w:rPr>
        <w:t xml:space="preserve"> A foundation is defined as a non-governmental entity that is established as a nonprofit corporation with a principal purpose of making grants to unrelated organizations, institutions or individuals for scientific, educational, cultural, religious or other charitable purposes that have been defined earlier in this document</w:t>
      </w:r>
      <w:r w:rsidRPr="00E20F70">
        <w:rPr>
          <w:rStyle w:val="FootnoteReference"/>
          <w:rFonts w:ascii="Corbel" w:eastAsia="Times New Roman" w:hAnsi="Corbel"/>
          <w:sz w:val="18"/>
        </w:rPr>
        <w:footnoteRef/>
      </w:r>
      <w:r w:rsidRPr="00E20F70">
        <w:rPr>
          <w:rFonts w:ascii="Corbel" w:hAnsi="Corbel"/>
          <w:sz w:val="18"/>
        </w:rPr>
        <w:t xml:space="preserve">. A foundation derives its funds mainly from a family endowment, an individual, corporation(s) or organization(s) and does not solicit direct funds from the public. Just like a charity, a foundation is a Non-Governmental Organization (NGO). Foundations however, rarely manage or set up their own projects like charities do, do not accept direct (tax exempt) donations (with the exception of community foundations) from the public and are not required to represent the public interest trough a diversified board of directors. Foundations usually contribute to the public good by making grants to projects or grantees administered by another entity. </w:t>
      </w:r>
      <w:r w:rsidRPr="00E20F70">
        <w:rPr>
          <w:rFonts w:ascii="Corbel" w:hAnsi="Corbel"/>
          <w:sz w:val="18"/>
          <w:lang w:val="en-GB"/>
        </w:rPr>
        <w:t xml:space="preserve">Foundation </w:t>
      </w:r>
      <w:proofErr w:type="spellStart"/>
      <w:r w:rsidRPr="00E20F70">
        <w:rPr>
          <w:rFonts w:ascii="Corbel" w:hAnsi="Corbel"/>
          <w:sz w:val="18"/>
          <w:lang w:val="en-GB"/>
        </w:rPr>
        <w:t>Center</w:t>
      </w:r>
      <w:proofErr w:type="spellEnd"/>
      <w:r w:rsidRPr="00E20F70">
        <w:rPr>
          <w:rFonts w:ascii="Corbel" w:hAnsi="Corbel"/>
          <w:sz w:val="18"/>
          <w:lang w:val="en-GB"/>
        </w:rPr>
        <w:t xml:space="preserve"> (2008) </w:t>
      </w:r>
      <w:r w:rsidRPr="00E20F70">
        <w:rPr>
          <w:rFonts w:ascii="Corbel" w:hAnsi="Corbel"/>
          <w:i/>
          <w:iCs/>
          <w:sz w:val="18"/>
          <w:lang w:val="en-GB"/>
        </w:rPr>
        <w:t>Foundation Fundamentals, 8</w:t>
      </w:r>
      <w:r w:rsidRPr="00E20F70">
        <w:rPr>
          <w:rFonts w:ascii="Corbel" w:hAnsi="Corbel"/>
          <w:i/>
          <w:iCs/>
          <w:sz w:val="18"/>
          <w:vertAlign w:val="superscript"/>
          <w:lang w:val="en-GB"/>
        </w:rPr>
        <w:t>th</w:t>
      </w:r>
      <w:r w:rsidRPr="00E20F70">
        <w:rPr>
          <w:rFonts w:ascii="Corbel" w:hAnsi="Corbel"/>
          <w:i/>
          <w:iCs/>
          <w:sz w:val="18"/>
          <w:lang w:val="en-GB"/>
        </w:rPr>
        <w:t xml:space="preserve"> edition. </w:t>
      </w:r>
      <w:r w:rsidRPr="00E20F70">
        <w:rPr>
          <w:rFonts w:ascii="Corbel" w:hAnsi="Corbel"/>
          <w:sz w:val="18"/>
          <w:lang w:val="en-GB"/>
        </w:rPr>
        <w:t>New York.</w:t>
      </w:r>
    </w:p>
  </w:footnote>
  <w:footnote w:id="2">
    <w:p w:rsidR="008C569A" w:rsidRPr="00E20F70" w:rsidRDefault="008C569A" w:rsidP="007F5EBB">
      <w:pPr>
        <w:pStyle w:val="FootnoteText"/>
        <w:rPr>
          <w:rFonts w:ascii="Corbel" w:hAnsi="Corbel"/>
        </w:rPr>
      </w:pPr>
      <w:r w:rsidRPr="00E20F70">
        <w:rPr>
          <w:rStyle w:val="FootnoteReference"/>
          <w:rFonts w:ascii="Corbel" w:hAnsi="Corbel"/>
        </w:rPr>
        <w:footnoteRef/>
      </w:r>
      <w:r w:rsidRPr="00E20F70">
        <w:rPr>
          <w:rFonts w:ascii="Corbel" w:hAnsi="Corbel"/>
        </w:rPr>
        <w:t xml:space="preserve"> European Foundation Centre 2007. </w:t>
      </w:r>
      <w:r w:rsidRPr="00E20F70">
        <w:rPr>
          <w:rFonts w:ascii="Corbel" w:hAnsi="Corbel"/>
          <w:i/>
        </w:rPr>
        <w:t>Foundations’ legal and fiscal environments. Mapping the European Union of 27.</w:t>
      </w:r>
      <w:r w:rsidRPr="00E20F70">
        <w:rPr>
          <w:rFonts w:ascii="Corbel" w:hAnsi="Corbel"/>
        </w:rPr>
        <w:t xml:space="preserve"> Brussels: European Foundation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6AB"/>
    <w:multiLevelType w:val="hybridMultilevel"/>
    <w:tmpl w:val="77D20EC8"/>
    <w:lvl w:ilvl="0" w:tplc="08307510">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F294C"/>
    <w:multiLevelType w:val="hybridMultilevel"/>
    <w:tmpl w:val="0D68C2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D623F3"/>
    <w:multiLevelType w:val="hybridMultilevel"/>
    <w:tmpl w:val="4808BBC6"/>
    <w:lvl w:ilvl="0" w:tplc="04130001">
      <w:start w:val="1"/>
      <w:numFmt w:val="bullet"/>
      <w:lvlText w:val=""/>
      <w:lvlJc w:val="left"/>
      <w:pPr>
        <w:ind w:left="1080" w:hanging="360"/>
      </w:pPr>
      <w:rPr>
        <w:rFonts w:ascii="Symbol" w:hAnsi="Symbol" w:hint="default"/>
      </w:rPr>
    </w:lvl>
    <w:lvl w:ilvl="1" w:tplc="04130001">
      <w:start w:val="1"/>
      <w:numFmt w:val="bullet"/>
      <w:lvlText w:val=""/>
      <w:lvlJc w:val="left"/>
      <w:pPr>
        <w:ind w:left="1769" w:hanging="360"/>
      </w:pPr>
      <w:rPr>
        <w:rFonts w:ascii="Symbol" w:hAnsi="Symbol"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3" w15:restartNumberingAfterBreak="0">
    <w:nsid w:val="1A6E2ECC"/>
    <w:multiLevelType w:val="multilevel"/>
    <w:tmpl w:val="77D20EC8"/>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D0DC0"/>
    <w:multiLevelType w:val="hybridMultilevel"/>
    <w:tmpl w:val="4CB08BD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E61270"/>
    <w:multiLevelType w:val="hybridMultilevel"/>
    <w:tmpl w:val="1D82747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49" w:hanging="360"/>
      </w:pPr>
      <w:rPr>
        <w:rFonts w:ascii="Symbol" w:hAnsi="Symbol" w:hint="default"/>
      </w:rPr>
    </w:lvl>
    <w:lvl w:ilvl="2" w:tplc="04090005" w:tentative="1">
      <w:start w:val="1"/>
      <w:numFmt w:val="bullet"/>
      <w:lvlText w:val=""/>
      <w:lvlJc w:val="left"/>
      <w:pPr>
        <w:ind w:left="1769" w:hanging="360"/>
      </w:pPr>
      <w:rPr>
        <w:rFonts w:ascii="Wingdings" w:hAnsi="Wingdings" w:hint="default"/>
      </w:rPr>
    </w:lvl>
    <w:lvl w:ilvl="3" w:tplc="04090001" w:tentative="1">
      <w:start w:val="1"/>
      <w:numFmt w:val="bullet"/>
      <w:lvlText w:val=""/>
      <w:lvlJc w:val="left"/>
      <w:pPr>
        <w:ind w:left="2489" w:hanging="360"/>
      </w:pPr>
      <w:rPr>
        <w:rFonts w:ascii="Symbol" w:hAnsi="Symbol" w:hint="default"/>
      </w:rPr>
    </w:lvl>
    <w:lvl w:ilvl="4" w:tplc="04090003" w:tentative="1">
      <w:start w:val="1"/>
      <w:numFmt w:val="bullet"/>
      <w:lvlText w:val="o"/>
      <w:lvlJc w:val="left"/>
      <w:pPr>
        <w:ind w:left="3209" w:hanging="360"/>
      </w:pPr>
      <w:rPr>
        <w:rFonts w:ascii="Courier New" w:hAnsi="Courier New" w:cs="Courier New" w:hint="default"/>
      </w:rPr>
    </w:lvl>
    <w:lvl w:ilvl="5" w:tplc="04090005" w:tentative="1">
      <w:start w:val="1"/>
      <w:numFmt w:val="bullet"/>
      <w:lvlText w:val=""/>
      <w:lvlJc w:val="left"/>
      <w:pPr>
        <w:ind w:left="3929" w:hanging="360"/>
      </w:pPr>
      <w:rPr>
        <w:rFonts w:ascii="Wingdings" w:hAnsi="Wingdings" w:hint="default"/>
      </w:rPr>
    </w:lvl>
    <w:lvl w:ilvl="6" w:tplc="04090001" w:tentative="1">
      <w:start w:val="1"/>
      <w:numFmt w:val="bullet"/>
      <w:lvlText w:val=""/>
      <w:lvlJc w:val="left"/>
      <w:pPr>
        <w:ind w:left="4649" w:hanging="360"/>
      </w:pPr>
      <w:rPr>
        <w:rFonts w:ascii="Symbol" w:hAnsi="Symbol" w:hint="default"/>
      </w:rPr>
    </w:lvl>
    <w:lvl w:ilvl="7" w:tplc="04090003" w:tentative="1">
      <w:start w:val="1"/>
      <w:numFmt w:val="bullet"/>
      <w:lvlText w:val="o"/>
      <w:lvlJc w:val="left"/>
      <w:pPr>
        <w:ind w:left="5369" w:hanging="360"/>
      </w:pPr>
      <w:rPr>
        <w:rFonts w:ascii="Courier New" w:hAnsi="Courier New" w:cs="Courier New" w:hint="default"/>
      </w:rPr>
    </w:lvl>
    <w:lvl w:ilvl="8" w:tplc="04090005" w:tentative="1">
      <w:start w:val="1"/>
      <w:numFmt w:val="bullet"/>
      <w:lvlText w:val=""/>
      <w:lvlJc w:val="left"/>
      <w:pPr>
        <w:ind w:left="6089" w:hanging="360"/>
      </w:pPr>
      <w:rPr>
        <w:rFonts w:ascii="Wingdings" w:hAnsi="Wingdings" w:hint="default"/>
      </w:rPr>
    </w:lvl>
  </w:abstractNum>
  <w:abstractNum w:abstractNumId="6" w15:restartNumberingAfterBreak="0">
    <w:nsid w:val="36702804"/>
    <w:multiLevelType w:val="hybridMultilevel"/>
    <w:tmpl w:val="AC3E575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0C91EC5"/>
    <w:multiLevelType w:val="hybridMultilevel"/>
    <w:tmpl w:val="77D20EC8"/>
    <w:lvl w:ilvl="0" w:tplc="08307510">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02671D"/>
    <w:multiLevelType w:val="hybridMultilevel"/>
    <w:tmpl w:val="35044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AF5F61"/>
    <w:multiLevelType w:val="hybridMultilevel"/>
    <w:tmpl w:val="BC34B3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20B1A2A"/>
    <w:multiLevelType w:val="hybridMultilevel"/>
    <w:tmpl w:val="DD6CFC12"/>
    <w:lvl w:ilvl="0" w:tplc="D876ADA0">
      <w:start w:val="1"/>
      <w:numFmt w:val="bullet"/>
      <w:lvlText w:val="-"/>
      <w:lvlJc w:val="left"/>
      <w:pPr>
        <w:ind w:left="360" w:hanging="360"/>
      </w:pPr>
      <w:rPr>
        <w:rFonts w:ascii="Times New Roman" w:eastAsia="MS Mincho"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1EB0667"/>
    <w:multiLevelType w:val="hybridMultilevel"/>
    <w:tmpl w:val="968CE6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39A3BBE"/>
    <w:multiLevelType w:val="hybridMultilevel"/>
    <w:tmpl w:val="54825828"/>
    <w:lvl w:ilvl="0" w:tplc="D876ADA0">
      <w:start w:val="1"/>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B635E6"/>
    <w:multiLevelType w:val="hybridMultilevel"/>
    <w:tmpl w:val="FF4E0366"/>
    <w:lvl w:ilvl="0" w:tplc="083075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13"/>
  </w:num>
  <w:num w:numId="6">
    <w:abstractNumId w:val="8"/>
  </w:num>
  <w:num w:numId="7">
    <w:abstractNumId w:val="10"/>
  </w:num>
  <w:num w:numId="8">
    <w:abstractNumId w:val="12"/>
  </w:num>
  <w:num w:numId="9">
    <w:abstractNumId w:val="9"/>
  </w:num>
  <w:num w:numId="10">
    <w:abstractNumId w:val="1"/>
  </w:num>
  <w:num w:numId="11">
    <w:abstractNumId w:val="4"/>
  </w:num>
  <w:num w:numId="12">
    <w:abstractNumId w:val="6"/>
  </w:num>
  <w:num w:numId="13">
    <w:abstractNumId w:val="11"/>
  </w:num>
  <w:num w:numId="14">
    <w:abstractNumId w:val="5"/>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FE"/>
    <w:rsid w:val="00010D67"/>
    <w:rsid w:val="00021F50"/>
    <w:rsid w:val="0003767E"/>
    <w:rsid w:val="00044431"/>
    <w:rsid w:val="00084FA5"/>
    <w:rsid w:val="000A1352"/>
    <w:rsid w:val="000B0EED"/>
    <w:rsid w:val="000D39BF"/>
    <w:rsid w:val="000D69E2"/>
    <w:rsid w:val="000D7ADE"/>
    <w:rsid w:val="000F177D"/>
    <w:rsid w:val="001077C1"/>
    <w:rsid w:val="001243DC"/>
    <w:rsid w:val="00151EE2"/>
    <w:rsid w:val="00152F22"/>
    <w:rsid w:val="00156751"/>
    <w:rsid w:val="00162AD3"/>
    <w:rsid w:val="001B1861"/>
    <w:rsid w:val="001C090F"/>
    <w:rsid w:val="001E01AB"/>
    <w:rsid w:val="001E2C5B"/>
    <w:rsid w:val="001E63BB"/>
    <w:rsid w:val="0022054D"/>
    <w:rsid w:val="002209A1"/>
    <w:rsid w:val="002725A6"/>
    <w:rsid w:val="00275977"/>
    <w:rsid w:val="00281F50"/>
    <w:rsid w:val="002A260C"/>
    <w:rsid w:val="002C1E61"/>
    <w:rsid w:val="002C1EFB"/>
    <w:rsid w:val="002C787B"/>
    <w:rsid w:val="002F4A91"/>
    <w:rsid w:val="002F68C9"/>
    <w:rsid w:val="002F7643"/>
    <w:rsid w:val="00304A9E"/>
    <w:rsid w:val="00306311"/>
    <w:rsid w:val="00322516"/>
    <w:rsid w:val="00330732"/>
    <w:rsid w:val="00330E0B"/>
    <w:rsid w:val="00331BC3"/>
    <w:rsid w:val="0034089A"/>
    <w:rsid w:val="0034363B"/>
    <w:rsid w:val="0035162E"/>
    <w:rsid w:val="00351EC6"/>
    <w:rsid w:val="00357AE9"/>
    <w:rsid w:val="00371ACB"/>
    <w:rsid w:val="00382976"/>
    <w:rsid w:val="003E5A64"/>
    <w:rsid w:val="0042007B"/>
    <w:rsid w:val="004551D0"/>
    <w:rsid w:val="00466C61"/>
    <w:rsid w:val="00467CC2"/>
    <w:rsid w:val="0047566C"/>
    <w:rsid w:val="00475C5D"/>
    <w:rsid w:val="004A19AE"/>
    <w:rsid w:val="004A4A50"/>
    <w:rsid w:val="004A676A"/>
    <w:rsid w:val="004B62A4"/>
    <w:rsid w:val="004E1F27"/>
    <w:rsid w:val="0053195A"/>
    <w:rsid w:val="00534EC5"/>
    <w:rsid w:val="00537553"/>
    <w:rsid w:val="00537BFE"/>
    <w:rsid w:val="0054127E"/>
    <w:rsid w:val="005579CE"/>
    <w:rsid w:val="005A64BE"/>
    <w:rsid w:val="005B03DB"/>
    <w:rsid w:val="005B0562"/>
    <w:rsid w:val="005C4C35"/>
    <w:rsid w:val="005D5A4D"/>
    <w:rsid w:val="005E1B07"/>
    <w:rsid w:val="00607706"/>
    <w:rsid w:val="006252C3"/>
    <w:rsid w:val="006352F1"/>
    <w:rsid w:val="00660900"/>
    <w:rsid w:val="00662131"/>
    <w:rsid w:val="00662519"/>
    <w:rsid w:val="00682EDC"/>
    <w:rsid w:val="006C000F"/>
    <w:rsid w:val="006C06A1"/>
    <w:rsid w:val="006D3A9D"/>
    <w:rsid w:val="006F01B6"/>
    <w:rsid w:val="006F760E"/>
    <w:rsid w:val="00704071"/>
    <w:rsid w:val="007412FF"/>
    <w:rsid w:val="007959F5"/>
    <w:rsid w:val="007A5093"/>
    <w:rsid w:val="007C2EDE"/>
    <w:rsid w:val="007C6155"/>
    <w:rsid w:val="007E2025"/>
    <w:rsid w:val="007E72EF"/>
    <w:rsid w:val="007F0A9F"/>
    <w:rsid w:val="007F5EBB"/>
    <w:rsid w:val="00814919"/>
    <w:rsid w:val="00846571"/>
    <w:rsid w:val="008501C9"/>
    <w:rsid w:val="008545C4"/>
    <w:rsid w:val="00861925"/>
    <w:rsid w:val="00880E37"/>
    <w:rsid w:val="00884E37"/>
    <w:rsid w:val="00891A0D"/>
    <w:rsid w:val="008A59F1"/>
    <w:rsid w:val="008B1C78"/>
    <w:rsid w:val="008B5D52"/>
    <w:rsid w:val="008C190E"/>
    <w:rsid w:val="008C569A"/>
    <w:rsid w:val="00910401"/>
    <w:rsid w:val="00912280"/>
    <w:rsid w:val="00952716"/>
    <w:rsid w:val="00961F94"/>
    <w:rsid w:val="009B030C"/>
    <w:rsid w:val="009B3528"/>
    <w:rsid w:val="009B388F"/>
    <w:rsid w:val="009D2915"/>
    <w:rsid w:val="009E6A06"/>
    <w:rsid w:val="00A31647"/>
    <w:rsid w:val="00A354CB"/>
    <w:rsid w:val="00A359D2"/>
    <w:rsid w:val="00A659EF"/>
    <w:rsid w:val="00A93FDA"/>
    <w:rsid w:val="00AB225E"/>
    <w:rsid w:val="00AC426A"/>
    <w:rsid w:val="00AD52F3"/>
    <w:rsid w:val="00AE7F99"/>
    <w:rsid w:val="00AF467D"/>
    <w:rsid w:val="00B1452F"/>
    <w:rsid w:val="00B27316"/>
    <w:rsid w:val="00B4132E"/>
    <w:rsid w:val="00B4235A"/>
    <w:rsid w:val="00B64960"/>
    <w:rsid w:val="00B80643"/>
    <w:rsid w:val="00BF0000"/>
    <w:rsid w:val="00BF26F2"/>
    <w:rsid w:val="00C00E3C"/>
    <w:rsid w:val="00C211F8"/>
    <w:rsid w:val="00C36CB5"/>
    <w:rsid w:val="00C44079"/>
    <w:rsid w:val="00C5090B"/>
    <w:rsid w:val="00C54757"/>
    <w:rsid w:val="00C637B4"/>
    <w:rsid w:val="00C6508D"/>
    <w:rsid w:val="00C6518B"/>
    <w:rsid w:val="00C7719C"/>
    <w:rsid w:val="00CD3658"/>
    <w:rsid w:val="00CD3E6A"/>
    <w:rsid w:val="00CD6BC0"/>
    <w:rsid w:val="00CE26E1"/>
    <w:rsid w:val="00CF3075"/>
    <w:rsid w:val="00D1608A"/>
    <w:rsid w:val="00D1798E"/>
    <w:rsid w:val="00D51E99"/>
    <w:rsid w:val="00D52745"/>
    <w:rsid w:val="00D84BF9"/>
    <w:rsid w:val="00D852A8"/>
    <w:rsid w:val="00DB390D"/>
    <w:rsid w:val="00DE6F0B"/>
    <w:rsid w:val="00DF3042"/>
    <w:rsid w:val="00E00843"/>
    <w:rsid w:val="00E044A3"/>
    <w:rsid w:val="00E044BB"/>
    <w:rsid w:val="00E20F70"/>
    <w:rsid w:val="00E52EF0"/>
    <w:rsid w:val="00E6186E"/>
    <w:rsid w:val="00E90970"/>
    <w:rsid w:val="00EC152C"/>
    <w:rsid w:val="00ED3B39"/>
    <w:rsid w:val="00EF1985"/>
    <w:rsid w:val="00F04352"/>
    <w:rsid w:val="00F154E5"/>
    <w:rsid w:val="00F31343"/>
    <w:rsid w:val="00F40E1F"/>
    <w:rsid w:val="00F636AC"/>
    <w:rsid w:val="00FA7EE1"/>
    <w:rsid w:val="00FB0366"/>
    <w:rsid w:val="00FD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384E0"/>
  <w15:docId w15:val="{95BDB1CF-A12F-4C4F-A246-4DECF0D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F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7BF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537BFE"/>
    <w:rPr>
      <w:rFonts w:ascii="Calibri" w:eastAsia="Calibri" w:hAnsi="Calibri" w:cs="Times New Roman"/>
      <w:sz w:val="20"/>
      <w:szCs w:val="20"/>
    </w:rPr>
  </w:style>
  <w:style w:type="character" w:styleId="FootnoteReference">
    <w:name w:val="footnote reference"/>
    <w:uiPriority w:val="99"/>
    <w:semiHidden/>
    <w:unhideWhenUsed/>
    <w:rsid w:val="00537BFE"/>
    <w:rPr>
      <w:vertAlign w:val="superscript"/>
    </w:rPr>
  </w:style>
  <w:style w:type="character" w:styleId="Hyperlink">
    <w:name w:val="Hyperlink"/>
    <w:uiPriority w:val="99"/>
    <w:rsid w:val="00537BFE"/>
    <w:rPr>
      <w:color w:val="0000FF"/>
      <w:u w:val="single"/>
    </w:rPr>
  </w:style>
  <w:style w:type="paragraph" w:styleId="Footer">
    <w:name w:val="footer"/>
    <w:basedOn w:val="Normal"/>
    <w:link w:val="FooterChar"/>
    <w:uiPriority w:val="99"/>
    <w:rsid w:val="00537BFE"/>
    <w:pPr>
      <w:tabs>
        <w:tab w:val="center" w:pos="4680"/>
        <w:tab w:val="right" w:pos="9360"/>
      </w:tabs>
    </w:pPr>
  </w:style>
  <w:style w:type="character" w:customStyle="1" w:styleId="FooterChar">
    <w:name w:val="Footer Char"/>
    <w:basedOn w:val="DefaultParagraphFont"/>
    <w:link w:val="Footer"/>
    <w:uiPriority w:val="99"/>
    <w:rsid w:val="00537BFE"/>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304A9E"/>
    <w:pPr>
      <w:ind w:left="720"/>
      <w:contextualSpacing/>
    </w:pPr>
  </w:style>
  <w:style w:type="paragraph" w:styleId="Header">
    <w:name w:val="header"/>
    <w:basedOn w:val="Normal"/>
    <w:link w:val="HeaderChar"/>
    <w:uiPriority w:val="99"/>
    <w:unhideWhenUsed/>
    <w:rsid w:val="006352F1"/>
    <w:pPr>
      <w:tabs>
        <w:tab w:val="center" w:pos="4680"/>
        <w:tab w:val="right" w:pos="9360"/>
      </w:tabs>
    </w:pPr>
  </w:style>
  <w:style w:type="character" w:customStyle="1" w:styleId="HeaderChar">
    <w:name w:val="Header Char"/>
    <w:basedOn w:val="DefaultParagraphFont"/>
    <w:link w:val="Header"/>
    <w:uiPriority w:val="99"/>
    <w:rsid w:val="006352F1"/>
    <w:rPr>
      <w:rFonts w:ascii="Times New Roman" w:eastAsia="MS Mincho" w:hAnsi="Times New Roman" w:cs="Times New Roman"/>
      <w:sz w:val="24"/>
      <w:szCs w:val="24"/>
      <w:lang w:eastAsia="ja-JP"/>
    </w:rPr>
  </w:style>
  <w:style w:type="character" w:customStyle="1" w:styleId="list0020paragraphchar1">
    <w:name w:val="list_0020paragraph__char1"/>
    <w:basedOn w:val="DefaultParagraphFont"/>
    <w:rsid w:val="00FD41FF"/>
    <w:rPr>
      <w:rFonts w:ascii="Arial" w:hAnsi="Arial" w:cs="Arial" w:hint="default"/>
      <w:sz w:val="22"/>
      <w:szCs w:val="22"/>
    </w:rPr>
  </w:style>
  <w:style w:type="paragraph" w:styleId="BalloonText">
    <w:name w:val="Balloon Text"/>
    <w:basedOn w:val="Normal"/>
    <w:link w:val="BalloonTextChar"/>
    <w:uiPriority w:val="99"/>
    <w:semiHidden/>
    <w:unhideWhenUsed/>
    <w:rsid w:val="00322516"/>
    <w:rPr>
      <w:rFonts w:ascii="Tahoma" w:hAnsi="Tahoma" w:cs="Tahoma"/>
      <w:sz w:val="16"/>
      <w:szCs w:val="16"/>
    </w:rPr>
  </w:style>
  <w:style w:type="character" w:customStyle="1" w:styleId="BalloonTextChar">
    <w:name w:val="Balloon Text Char"/>
    <w:basedOn w:val="DefaultParagraphFont"/>
    <w:link w:val="BalloonText"/>
    <w:uiPriority w:val="99"/>
    <w:semiHidden/>
    <w:rsid w:val="00322516"/>
    <w:rPr>
      <w:rFonts w:ascii="Tahoma" w:eastAsia="MS Mincho" w:hAnsi="Tahoma" w:cs="Tahoma"/>
      <w:sz w:val="16"/>
      <w:szCs w:val="16"/>
      <w:lang w:eastAsia="ja-JP"/>
    </w:rPr>
  </w:style>
  <w:style w:type="character" w:styleId="CommentReference">
    <w:name w:val="annotation reference"/>
    <w:basedOn w:val="DefaultParagraphFont"/>
    <w:uiPriority w:val="99"/>
    <w:semiHidden/>
    <w:unhideWhenUsed/>
    <w:rsid w:val="00281F50"/>
    <w:rPr>
      <w:sz w:val="16"/>
      <w:szCs w:val="16"/>
    </w:rPr>
  </w:style>
  <w:style w:type="paragraph" w:styleId="CommentText">
    <w:name w:val="annotation text"/>
    <w:basedOn w:val="Normal"/>
    <w:link w:val="CommentTextChar"/>
    <w:uiPriority w:val="99"/>
    <w:semiHidden/>
    <w:unhideWhenUsed/>
    <w:rsid w:val="00281F50"/>
    <w:rPr>
      <w:sz w:val="20"/>
      <w:szCs w:val="20"/>
    </w:rPr>
  </w:style>
  <w:style w:type="character" w:customStyle="1" w:styleId="CommentTextChar">
    <w:name w:val="Comment Text Char"/>
    <w:basedOn w:val="DefaultParagraphFont"/>
    <w:link w:val="CommentText"/>
    <w:uiPriority w:val="99"/>
    <w:semiHidden/>
    <w:rsid w:val="00281F50"/>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81F50"/>
    <w:rPr>
      <w:b/>
      <w:bCs/>
    </w:rPr>
  </w:style>
  <w:style w:type="character" w:customStyle="1" w:styleId="CommentSubjectChar">
    <w:name w:val="Comment Subject Char"/>
    <w:basedOn w:val="CommentTextChar"/>
    <w:link w:val="CommentSubject"/>
    <w:uiPriority w:val="99"/>
    <w:semiHidden/>
    <w:rsid w:val="00281F50"/>
    <w:rPr>
      <w:rFonts w:ascii="Times New Roman" w:eastAsia="MS Mincho" w:hAnsi="Times New Roman" w:cs="Times New Roman"/>
      <w:b/>
      <w:bCs/>
      <w:sz w:val="20"/>
      <w:szCs w:val="20"/>
      <w:lang w:eastAsia="ja-JP"/>
    </w:rPr>
  </w:style>
  <w:style w:type="character" w:styleId="SubtleEmphasis">
    <w:name w:val="Subtle Emphasis"/>
    <w:basedOn w:val="DefaultParagraphFont"/>
    <w:uiPriority w:val="19"/>
    <w:qFormat/>
    <w:rsid w:val="00C44079"/>
    <w:rPr>
      <w:i/>
      <w:iCs/>
      <w:color w:val="808080" w:themeColor="text1" w:themeTint="7F"/>
    </w:rPr>
  </w:style>
  <w:style w:type="character" w:styleId="FollowedHyperlink">
    <w:name w:val="FollowedHyperlink"/>
    <w:basedOn w:val="DefaultParagraphFont"/>
    <w:uiPriority w:val="99"/>
    <w:semiHidden/>
    <w:unhideWhenUsed/>
    <w:rsid w:val="006C06A1"/>
    <w:rPr>
      <w:color w:val="800080" w:themeColor="followedHyperlink"/>
      <w:u w:val="single"/>
    </w:rPr>
  </w:style>
  <w:style w:type="table" w:styleId="TableGrid">
    <w:name w:val="Table Grid"/>
    <w:basedOn w:val="TableNormal"/>
    <w:uiPriority w:val="59"/>
    <w:rsid w:val="00AB2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80">
      <w:bodyDiv w:val="1"/>
      <w:marLeft w:val="0"/>
      <w:marRight w:val="0"/>
      <w:marTop w:val="0"/>
      <w:marBottom w:val="0"/>
      <w:divBdr>
        <w:top w:val="none" w:sz="0" w:space="0" w:color="auto"/>
        <w:left w:val="none" w:sz="0" w:space="0" w:color="auto"/>
        <w:bottom w:val="none" w:sz="0" w:space="0" w:color="auto"/>
        <w:right w:val="none" w:sz="0" w:space="0" w:color="auto"/>
      </w:divBdr>
    </w:div>
    <w:div w:id="36786862">
      <w:bodyDiv w:val="1"/>
      <w:marLeft w:val="0"/>
      <w:marRight w:val="0"/>
      <w:marTop w:val="0"/>
      <w:marBottom w:val="0"/>
      <w:divBdr>
        <w:top w:val="none" w:sz="0" w:space="0" w:color="auto"/>
        <w:left w:val="none" w:sz="0" w:space="0" w:color="auto"/>
        <w:bottom w:val="none" w:sz="0" w:space="0" w:color="auto"/>
        <w:right w:val="none" w:sz="0" w:space="0" w:color="auto"/>
      </w:divBdr>
    </w:div>
    <w:div w:id="43795703">
      <w:bodyDiv w:val="1"/>
      <w:marLeft w:val="0"/>
      <w:marRight w:val="0"/>
      <w:marTop w:val="0"/>
      <w:marBottom w:val="0"/>
      <w:divBdr>
        <w:top w:val="none" w:sz="0" w:space="0" w:color="auto"/>
        <w:left w:val="none" w:sz="0" w:space="0" w:color="auto"/>
        <w:bottom w:val="none" w:sz="0" w:space="0" w:color="auto"/>
        <w:right w:val="none" w:sz="0" w:space="0" w:color="auto"/>
      </w:divBdr>
    </w:div>
    <w:div w:id="64761434">
      <w:bodyDiv w:val="1"/>
      <w:marLeft w:val="0"/>
      <w:marRight w:val="0"/>
      <w:marTop w:val="0"/>
      <w:marBottom w:val="0"/>
      <w:divBdr>
        <w:top w:val="none" w:sz="0" w:space="0" w:color="auto"/>
        <w:left w:val="none" w:sz="0" w:space="0" w:color="auto"/>
        <w:bottom w:val="none" w:sz="0" w:space="0" w:color="auto"/>
        <w:right w:val="none" w:sz="0" w:space="0" w:color="auto"/>
      </w:divBdr>
    </w:div>
    <w:div w:id="266666433">
      <w:bodyDiv w:val="1"/>
      <w:marLeft w:val="0"/>
      <w:marRight w:val="0"/>
      <w:marTop w:val="0"/>
      <w:marBottom w:val="0"/>
      <w:divBdr>
        <w:top w:val="none" w:sz="0" w:space="0" w:color="auto"/>
        <w:left w:val="none" w:sz="0" w:space="0" w:color="auto"/>
        <w:bottom w:val="none" w:sz="0" w:space="0" w:color="auto"/>
        <w:right w:val="none" w:sz="0" w:space="0" w:color="auto"/>
      </w:divBdr>
    </w:div>
    <w:div w:id="340470455">
      <w:bodyDiv w:val="1"/>
      <w:marLeft w:val="0"/>
      <w:marRight w:val="0"/>
      <w:marTop w:val="0"/>
      <w:marBottom w:val="0"/>
      <w:divBdr>
        <w:top w:val="none" w:sz="0" w:space="0" w:color="auto"/>
        <w:left w:val="none" w:sz="0" w:space="0" w:color="auto"/>
        <w:bottom w:val="none" w:sz="0" w:space="0" w:color="auto"/>
        <w:right w:val="none" w:sz="0" w:space="0" w:color="auto"/>
      </w:divBdr>
    </w:div>
    <w:div w:id="423648663">
      <w:bodyDiv w:val="1"/>
      <w:marLeft w:val="0"/>
      <w:marRight w:val="0"/>
      <w:marTop w:val="0"/>
      <w:marBottom w:val="0"/>
      <w:divBdr>
        <w:top w:val="none" w:sz="0" w:space="0" w:color="auto"/>
        <w:left w:val="none" w:sz="0" w:space="0" w:color="auto"/>
        <w:bottom w:val="none" w:sz="0" w:space="0" w:color="auto"/>
        <w:right w:val="none" w:sz="0" w:space="0" w:color="auto"/>
      </w:divBdr>
    </w:div>
    <w:div w:id="514686868">
      <w:bodyDiv w:val="1"/>
      <w:marLeft w:val="0"/>
      <w:marRight w:val="0"/>
      <w:marTop w:val="0"/>
      <w:marBottom w:val="0"/>
      <w:divBdr>
        <w:top w:val="none" w:sz="0" w:space="0" w:color="auto"/>
        <w:left w:val="none" w:sz="0" w:space="0" w:color="auto"/>
        <w:bottom w:val="none" w:sz="0" w:space="0" w:color="auto"/>
        <w:right w:val="none" w:sz="0" w:space="0" w:color="auto"/>
      </w:divBdr>
    </w:div>
    <w:div w:id="537357164">
      <w:bodyDiv w:val="1"/>
      <w:marLeft w:val="0"/>
      <w:marRight w:val="0"/>
      <w:marTop w:val="0"/>
      <w:marBottom w:val="0"/>
      <w:divBdr>
        <w:top w:val="none" w:sz="0" w:space="0" w:color="auto"/>
        <w:left w:val="none" w:sz="0" w:space="0" w:color="auto"/>
        <w:bottom w:val="none" w:sz="0" w:space="0" w:color="auto"/>
        <w:right w:val="none" w:sz="0" w:space="0" w:color="auto"/>
      </w:divBdr>
    </w:div>
    <w:div w:id="610943587">
      <w:bodyDiv w:val="1"/>
      <w:marLeft w:val="0"/>
      <w:marRight w:val="0"/>
      <w:marTop w:val="0"/>
      <w:marBottom w:val="0"/>
      <w:divBdr>
        <w:top w:val="none" w:sz="0" w:space="0" w:color="auto"/>
        <w:left w:val="none" w:sz="0" w:space="0" w:color="auto"/>
        <w:bottom w:val="none" w:sz="0" w:space="0" w:color="auto"/>
        <w:right w:val="none" w:sz="0" w:space="0" w:color="auto"/>
      </w:divBdr>
    </w:div>
    <w:div w:id="611740592">
      <w:bodyDiv w:val="1"/>
      <w:marLeft w:val="0"/>
      <w:marRight w:val="0"/>
      <w:marTop w:val="0"/>
      <w:marBottom w:val="0"/>
      <w:divBdr>
        <w:top w:val="none" w:sz="0" w:space="0" w:color="auto"/>
        <w:left w:val="none" w:sz="0" w:space="0" w:color="auto"/>
        <w:bottom w:val="none" w:sz="0" w:space="0" w:color="auto"/>
        <w:right w:val="none" w:sz="0" w:space="0" w:color="auto"/>
      </w:divBdr>
    </w:div>
    <w:div w:id="623387911">
      <w:bodyDiv w:val="1"/>
      <w:marLeft w:val="0"/>
      <w:marRight w:val="0"/>
      <w:marTop w:val="0"/>
      <w:marBottom w:val="0"/>
      <w:divBdr>
        <w:top w:val="none" w:sz="0" w:space="0" w:color="auto"/>
        <w:left w:val="none" w:sz="0" w:space="0" w:color="auto"/>
        <w:bottom w:val="none" w:sz="0" w:space="0" w:color="auto"/>
        <w:right w:val="none" w:sz="0" w:space="0" w:color="auto"/>
      </w:divBdr>
    </w:div>
    <w:div w:id="626009882">
      <w:bodyDiv w:val="1"/>
      <w:marLeft w:val="0"/>
      <w:marRight w:val="0"/>
      <w:marTop w:val="0"/>
      <w:marBottom w:val="0"/>
      <w:divBdr>
        <w:top w:val="none" w:sz="0" w:space="0" w:color="auto"/>
        <w:left w:val="none" w:sz="0" w:space="0" w:color="auto"/>
        <w:bottom w:val="none" w:sz="0" w:space="0" w:color="auto"/>
        <w:right w:val="none" w:sz="0" w:space="0" w:color="auto"/>
      </w:divBdr>
    </w:div>
    <w:div w:id="631861513">
      <w:bodyDiv w:val="1"/>
      <w:marLeft w:val="0"/>
      <w:marRight w:val="0"/>
      <w:marTop w:val="0"/>
      <w:marBottom w:val="0"/>
      <w:divBdr>
        <w:top w:val="none" w:sz="0" w:space="0" w:color="auto"/>
        <w:left w:val="none" w:sz="0" w:space="0" w:color="auto"/>
        <w:bottom w:val="none" w:sz="0" w:space="0" w:color="auto"/>
        <w:right w:val="none" w:sz="0" w:space="0" w:color="auto"/>
      </w:divBdr>
    </w:div>
    <w:div w:id="635188304">
      <w:bodyDiv w:val="1"/>
      <w:marLeft w:val="0"/>
      <w:marRight w:val="0"/>
      <w:marTop w:val="0"/>
      <w:marBottom w:val="0"/>
      <w:divBdr>
        <w:top w:val="none" w:sz="0" w:space="0" w:color="auto"/>
        <w:left w:val="none" w:sz="0" w:space="0" w:color="auto"/>
        <w:bottom w:val="none" w:sz="0" w:space="0" w:color="auto"/>
        <w:right w:val="none" w:sz="0" w:space="0" w:color="auto"/>
      </w:divBdr>
    </w:div>
    <w:div w:id="641615064">
      <w:bodyDiv w:val="1"/>
      <w:marLeft w:val="0"/>
      <w:marRight w:val="0"/>
      <w:marTop w:val="0"/>
      <w:marBottom w:val="0"/>
      <w:divBdr>
        <w:top w:val="none" w:sz="0" w:space="0" w:color="auto"/>
        <w:left w:val="none" w:sz="0" w:space="0" w:color="auto"/>
        <w:bottom w:val="none" w:sz="0" w:space="0" w:color="auto"/>
        <w:right w:val="none" w:sz="0" w:space="0" w:color="auto"/>
      </w:divBdr>
    </w:div>
    <w:div w:id="643923742">
      <w:bodyDiv w:val="1"/>
      <w:marLeft w:val="0"/>
      <w:marRight w:val="0"/>
      <w:marTop w:val="0"/>
      <w:marBottom w:val="0"/>
      <w:divBdr>
        <w:top w:val="none" w:sz="0" w:space="0" w:color="auto"/>
        <w:left w:val="none" w:sz="0" w:space="0" w:color="auto"/>
        <w:bottom w:val="none" w:sz="0" w:space="0" w:color="auto"/>
        <w:right w:val="none" w:sz="0" w:space="0" w:color="auto"/>
      </w:divBdr>
    </w:div>
    <w:div w:id="649752340">
      <w:bodyDiv w:val="1"/>
      <w:marLeft w:val="0"/>
      <w:marRight w:val="0"/>
      <w:marTop w:val="0"/>
      <w:marBottom w:val="0"/>
      <w:divBdr>
        <w:top w:val="none" w:sz="0" w:space="0" w:color="auto"/>
        <w:left w:val="none" w:sz="0" w:space="0" w:color="auto"/>
        <w:bottom w:val="none" w:sz="0" w:space="0" w:color="auto"/>
        <w:right w:val="none" w:sz="0" w:space="0" w:color="auto"/>
      </w:divBdr>
    </w:div>
    <w:div w:id="665086931">
      <w:bodyDiv w:val="1"/>
      <w:marLeft w:val="0"/>
      <w:marRight w:val="0"/>
      <w:marTop w:val="0"/>
      <w:marBottom w:val="0"/>
      <w:divBdr>
        <w:top w:val="none" w:sz="0" w:space="0" w:color="auto"/>
        <w:left w:val="none" w:sz="0" w:space="0" w:color="auto"/>
        <w:bottom w:val="none" w:sz="0" w:space="0" w:color="auto"/>
        <w:right w:val="none" w:sz="0" w:space="0" w:color="auto"/>
      </w:divBdr>
    </w:div>
    <w:div w:id="702170098">
      <w:bodyDiv w:val="1"/>
      <w:marLeft w:val="0"/>
      <w:marRight w:val="0"/>
      <w:marTop w:val="0"/>
      <w:marBottom w:val="0"/>
      <w:divBdr>
        <w:top w:val="none" w:sz="0" w:space="0" w:color="auto"/>
        <w:left w:val="none" w:sz="0" w:space="0" w:color="auto"/>
        <w:bottom w:val="none" w:sz="0" w:space="0" w:color="auto"/>
        <w:right w:val="none" w:sz="0" w:space="0" w:color="auto"/>
      </w:divBdr>
    </w:div>
    <w:div w:id="906846408">
      <w:bodyDiv w:val="1"/>
      <w:marLeft w:val="0"/>
      <w:marRight w:val="0"/>
      <w:marTop w:val="0"/>
      <w:marBottom w:val="0"/>
      <w:divBdr>
        <w:top w:val="none" w:sz="0" w:space="0" w:color="auto"/>
        <w:left w:val="none" w:sz="0" w:space="0" w:color="auto"/>
        <w:bottom w:val="none" w:sz="0" w:space="0" w:color="auto"/>
        <w:right w:val="none" w:sz="0" w:space="0" w:color="auto"/>
      </w:divBdr>
    </w:div>
    <w:div w:id="1038318575">
      <w:bodyDiv w:val="1"/>
      <w:marLeft w:val="0"/>
      <w:marRight w:val="0"/>
      <w:marTop w:val="0"/>
      <w:marBottom w:val="0"/>
      <w:divBdr>
        <w:top w:val="none" w:sz="0" w:space="0" w:color="auto"/>
        <w:left w:val="none" w:sz="0" w:space="0" w:color="auto"/>
        <w:bottom w:val="none" w:sz="0" w:space="0" w:color="auto"/>
        <w:right w:val="none" w:sz="0" w:space="0" w:color="auto"/>
      </w:divBdr>
    </w:div>
    <w:div w:id="1072503512">
      <w:bodyDiv w:val="1"/>
      <w:marLeft w:val="0"/>
      <w:marRight w:val="0"/>
      <w:marTop w:val="0"/>
      <w:marBottom w:val="0"/>
      <w:divBdr>
        <w:top w:val="none" w:sz="0" w:space="0" w:color="auto"/>
        <w:left w:val="none" w:sz="0" w:space="0" w:color="auto"/>
        <w:bottom w:val="none" w:sz="0" w:space="0" w:color="auto"/>
        <w:right w:val="none" w:sz="0" w:space="0" w:color="auto"/>
      </w:divBdr>
    </w:div>
    <w:div w:id="1137793141">
      <w:bodyDiv w:val="1"/>
      <w:marLeft w:val="0"/>
      <w:marRight w:val="0"/>
      <w:marTop w:val="0"/>
      <w:marBottom w:val="0"/>
      <w:divBdr>
        <w:top w:val="none" w:sz="0" w:space="0" w:color="auto"/>
        <w:left w:val="none" w:sz="0" w:space="0" w:color="auto"/>
        <w:bottom w:val="none" w:sz="0" w:space="0" w:color="auto"/>
        <w:right w:val="none" w:sz="0" w:space="0" w:color="auto"/>
      </w:divBdr>
    </w:div>
    <w:div w:id="1187250733">
      <w:bodyDiv w:val="1"/>
      <w:marLeft w:val="0"/>
      <w:marRight w:val="0"/>
      <w:marTop w:val="0"/>
      <w:marBottom w:val="0"/>
      <w:divBdr>
        <w:top w:val="none" w:sz="0" w:space="0" w:color="auto"/>
        <w:left w:val="none" w:sz="0" w:space="0" w:color="auto"/>
        <w:bottom w:val="none" w:sz="0" w:space="0" w:color="auto"/>
        <w:right w:val="none" w:sz="0" w:space="0" w:color="auto"/>
      </w:divBdr>
    </w:div>
    <w:div w:id="1306157281">
      <w:bodyDiv w:val="1"/>
      <w:marLeft w:val="0"/>
      <w:marRight w:val="0"/>
      <w:marTop w:val="0"/>
      <w:marBottom w:val="0"/>
      <w:divBdr>
        <w:top w:val="none" w:sz="0" w:space="0" w:color="auto"/>
        <w:left w:val="none" w:sz="0" w:space="0" w:color="auto"/>
        <w:bottom w:val="none" w:sz="0" w:space="0" w:color="auto"/>
        <w:right w:val="none" w:sz="0" w:space="0" w:color="auto"/>
      </w:divBdr>
    </w:div>
    <w:div w:id="1387755646">
      <w:bodyDiv w:val="1"/>
      <w:marLeft w:val="0"/>
      <w:marRight w:val="0"/>
      <w:marTop w:val="0"/>
      <w:marBottom w:val="0"/>
      <w:divBdr>
        <w:top w:val="none" w:sz="0" w:space="0" w:color="auto"/>
        <w:left w:val="none" w:sz="0" w:space="0" w:color="auto"/>
        <w:bottom w:val="none" w:sz="0" w:space="0" w:color="auto"/>
        <w:right w:val="none" w:sz="0" w:space="0" w:color="auto"/>
      </w:divBdr>
    </w:div>
    <w:div w:id="1394767198">
      <w:bodyDiv w:val="1"/>
      <w:marLeft w:val="0"/>
      <w:marRight w:val="0"/>
      <w:marTop w:val="0"/>
      <w:marBottom w:val="0"/>
      <w:divBdr>
        <w:top w:val="none" w:sz="0" w:space="0" w:color="auto"/>
        <w:left w:val="none" w:sz="0" w:space="0" w:color="auto"/>
        <w:bottom w:val="none" w:sz="0" w:space="0" w:color="auto"/>
        <w:right w:val="none" w:sz="0" w:space="0" w:color="auto"/>
      </w:divBdr>
    </w:div>
    <w:div w:id="1432046596">
      <w:bodyDiv w:val="1"/>
      <w:marLeft w:val="0"/>
      <w:marRight w:val="0"/>
      <w:marTop w:val="0"/>
      <w:marBottom w:val="0"/>
      <w:divBdr>
        <w:top w:val="none" w:sz="0" w:space="0" w:color="auto"/>
        <w:left w:val="none" w:sz="0" w:space="0" w:color="auto"/>
        <w:bottom w:val="none" w:sz="0" w:space="0" w:color="auto"/>
        <w:right w:val="none" w:sz="0" w:space="0" w:color="auto"/>
      </w:divBdr>
    </w:div>
    <w:div w:id="1491480480">
      <w:bodyDiv w:val="1"/>
      <w:marLeft w:val="0"/>
      <w:marRight w:val="0"/>
      <w:marTop w:val="0"/>
      <w:marBottom w:val="0"/>
      <w:divBdr>
        <w:top w:val="none" w:sz="0" w:space="0" w:color="auto"/>
        <w:left w:val="none" w:sz="0" w:space="0" w:color="auto"/>
        <w:bottom w:val="none" w:sz="0" w:space="0" w:color="auto"/>
        <w:right w:val="none" w:sz="0" w:space="0" w:color="auto"/>
      </w:divBdr>
    </w:div>
    <w:div w:id="1563566029">
      <w:bodyDiv w:val="1"/>
      <w:marLeft w:val="0"/>
      <w:marRight w:val="0"/>
      <w:marTop w:val="0"/>
      <w:marBottom w:val="0"/>
      <w:divBdr>
        <w:top w:val="none" w:sz="0" w:space="0" w:color="auto"/>
        <w:left w:val="none" w:sz="0" w:space="0" w:color="auto"/>
        <w:bottom w:val="none" w:sz="0" w:space="0" w:color="auto"/>
        <w:right w:val="none" w:sz="0" w:space="0" w:color="auto"/>
      </w:divBdr>
    </w:div>
    <w:div w:id="1566841186">
      <w:bodyDiv w:val="1"/>
      <w:marLeft w:val="0"/>
      <w:marRight w:val="0"/>
      <w:marTop w:val="0"/>
      <w:marBottom w:val="0"/>
      <w:divBdr>
        <w:top w:val="none" w:sz="0" w:space="0" w:color="auto"/>
        <w:left w:val="none" w:sz="0" w:space="0" w:color="auto"/>
        <w:bottom w:val="none" w:sz="0" w:space="0" w:color="auto"/>
        <w:right w:val="none" w:sz="0" w:space="0" w:color="auto"/>
      </w:divBdr>
    </w:div>
    <w:div w:id="1607729175">
      <w:bodyDiv w:val="1"/>
      <w:marLeft w:val="0"/>
      <w:marRight w:val="0"/>
      <w:marTop w:val="0"/>
      <w:marBottom w:val="0"/>
      <w:divBdr>
        <w:top w:val="none" w:sz="0" w:space="0" w:color="auto"/>
        <w:left w:val="none" w:sz="0" w:space="0" w:color="auto"/>
        <w:bottom w:val="none" w:sz="0" w:space="0" w:color="auto"/>
        <w:right w:val="none" w:sz="0" w:space="0" w:color="auto"/>
      </w:divBdr>
    </w:div>
    <w:div w:id="1621180716">
      <w:bodyDiv w:val="1"/>
      <w:marLeft w:val="0"/>
      <w:marRight w:val="0"/>
      <w:marTop w:val="0"/>
      <w:marBottom w:val="0"/>
      <w:divBdr>
        <w:top w:val="none" w:sz="0" w:space="0" w:color="auto"/>
        <w:left w:val="none" w:sz="0" w:space="0" w:color="auto"/>
        <w:bottom w:val="none" w:sz="0" w:space="0" w:color="auto"/>
        <w:right w:val="none" w:sz="0" w:space="0" w:color="auto"/>
      </w:divBdr>
    </w:div>
    <w:div w:id="1657489172">
      <w:bodyDiv w:val="1"/>
      <w:marLeft w:val="0"/>
      <w:marRight w:val="0"/>
      <w:marTop w:val="0"/>
      <w:marBottom w:val="0"/>
      <w:divBdr>
        <w:top w:val="none" w:sz="0" w:space="0" w:color="auto"/>
        <w:left w:val="none" w:sz="0" w:space="0" w:color="auto"/>
        <w:bottom w:val="none" w:sz="0" w:space="0" w:color="auto"/>
        <w:right w:val="none" w:sz="0" w:space="0" w:color="auto"/>
      </w:divBdr>
    </w:div>
    <w:div w:id="1753965259">
      <w:bodyDiv w:val="1"/>
      <w:marLeft w:val="0"/>
      <w:marRight w:val="0"/>
      <w:marTop w:val="0"/>
      <w:marBottom w:val="0"/>
      <w:divBdr>
        <w:top w:val="none" w:sz="0" w:space="0" w:color="auto"/>
        <w:left w:val="none" w:sz="0" w:space="0" w:color="auto"/>
        <w:bottom w:val="none" w:sz="0" w:space="0" w:color="auto"/>
        <w:right w:val="none" w:sz="0" w:space="0" w:color="auto"/>
      </w:divBdr>
    </w:div>
    <w:div w:id="1864704059">
      <w:bodyDiv w:val="1"/>
      <w:marLeft w:val="0"/>
      <w:marRight w:val="0"/>
      <w:marTop w:val="0"/>
      <w:marBottom w:val="0"/>
      <w:divBdr>
        <w:top w:val="none" w:sz="0" w:space="0" w:color="auto"/>
        <w:left w:val="none" w:sz="0" w:space="0" w:color="auto"/>
        <w:bottom w:val="none" w:sz="0" w:space="0" w:color="auto"/>
        <w:right w:val="none" w:sz="0" w:space="0" w:color="auto"/>
      </w:divBdr>
    </w:div>
    <w:div w:id="1902132980">
      <w:bodyDiv w:val="1"/>
      <w:marLeft w:val="0"/>
      <w:marRight w:val="0"/>
      <w:marTop w:val="0"/>
      <w:marBottom w:val="0"/>
      <w:divBdr>
        <w:top w:val="none" w:sz="0" w:space="0" w:color="auto"/>
        <w:left w:val="none" w:sz="0" w:space="0" w:color="auto"/>
        <w:bottom w:val="none" w:sz="0" w:space="0" w:color="auto"/>
        <w:right w:val="none" w:sz="0" w:space="0" w:color="auto"/>
      </w:divBdr>
    </w:div>
    <w:div w:id="19875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v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nda.com/currency/ave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995E-EC00-4AE0-8B99-4DBAEB3F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14402</Characters>
  <Application>Microsoft Office Word</Application>
  <DocSecurity>0</DocSecurity>
  <Lines>120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Gouwenberg, B.M.</dc:creator>
  <cp:lastModifiedBy>Gouwenberg, B.M.</cp:lastModifiedBy>
  <cp:revision>2</cp:revision>
  <cp:lastPrinted>2018-12-04T15:44:00Z</cp:lastPrinted>
  <dcterms:created xsi:type="dcterms:W3CDTF">2018-12-10T13:34:00Z</dcterms:created>
  <dcterms:modified xsi:type="dcterms:W3CDTF">2018-12-10T13:34:00Z</dcterms:modified>
</cp:coreProperties>
</file>